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61160B" w14:textId="2D53C8E9" w:rsidR="0030072F" w:rsidRPr="00EA51A4" w:rsidRDefault="003D4ED1" w:rsidP="003D4ED1">
      <w:pPr>
        <w:widowControl w:val="0"/>
        <w:spacing w:before="100" w:beforeAutospacing="1" w:after="100" w:afterAutospacing="1" w:line="360" w:lineRule="auto"/>
        <w:ind w:right="-164"/>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w:t>
      </w:r>
      <w:r w:rsidRPr="00D9554C">
        <w:rPr>
          <w:rFonts w:ascii="Palatino Linotype" w:hAnsi="Palatino Linotype" w:cs="Arial"/>
          <w:b/>
        </w:rPr>
        <w:t xml:space="preserve">EN LA </w:t>
      </w:r>
      <w:r>
        <w:rPr>
          <w:rFonts w:ascii="Palatino Linotype" w:hAnsi="Palatino Linotype" w:cs="Arial"/>
          <w:b/>
        </w:rPr>
        <w:t>CUADRAG</w:t>
      </w:r>
      <w:r w:rsidR="00705B98">
        <w:rPr>
          <w:rFonts w:ascii="Palatino Linotype" w:hAnsi="Palatino Linotype" w:cs="Arial"/>
          <w:b/>
        </w:rPr>
        <w:t>ÉSIMA QUINTA</w:t>
      </w:r>
      <w:r>
        <w:rPr>
          <w:rFonts w:ascii="Palatino Linotype" w:hAnsi="Palatino Linotype" w:cs="Arial"/>
          <w:b/>
        </w:rPr>
        <w:t xml:space="preserve"> SESIÓN ORDINARIA DE </w:t>
      </w:r>
      <w:r w:rsidR="00705B98">
        <w:rPr>
          <w:rFonts w:ascii="Palatino Linotype" w:hAnsi="Palatino Linotype" w:cs="Arial"/>
          <w:b/>
        </w:rPr>
        <w:t>SEIS DE DICIEMBRE</w:t>
      </w:r>
      <w:r>
        <w:rPr>
          <w:rFonts w:ascii="Palatino Linotype" w:hAnsi="Palatino Linotype" w:cs="Arial"/>
          <w:b/>
        </w:rPr>
        <w:t xml:space="preserve"> DE DOS MIL DIECIOCHO</w:t>
      </w:r>
      <w:r w:rsidR="00705B98">
        <w:rPr>
          <w:rFonts w:ascii="Palatino Linotype" w:hAnsi="Palatino Linotype" w:cs="Arial"/>
          <w:b/>
        </w:rPr>
        <w:t>, EN LOS</w:t>
      </w:r>
      <w:r w:rsidRPr="00D9554C">
        <w:rPr>
          <w:rFonts w:ascii="Palatino Linotype" w:hAnsi="Palatino Linotype" w:cs="Arial"/>
          <w:b/>
        </w:rPr>
        <w:t xml:space="preserve"> RECURSO</w:t>
      </w:r>
      <w:r w:rsidR="00705B98">
        <w:rPr>
          <w:rFonts w:ascii="Palatino Linotype" w:hAnsi="Palatino Linotype" w:cs="Arial"/>
          <w:b/>
        </w:rPr>
        <w:t>S</w:t>
      </w:r>
      <w:r w:rsidRPr="00D9554C">
        <w:rPr>
          <w:rFonts w:ascii="Palatino Linotype" w:hAnsi="Palatino Linotype" w:cs="Arial"/>
          <w:b/>
        </w:rPr>
        <w:t xml:space="preserve"> DE REVISIÓN</w:t>
      </w:r>
      <w:r>
        <w:rPr>
          <w:rFonts w:ascii="Palatino Linotype" w:hAnsi="Palatino Linotype" w:cs="Arial"/>
          <w:b/>
        </w:rPr>
        <w:t xml:space="preserve"> </w:t>
      </w:r>
      <w:r w:rsidR="00705B98">
        <w:rPr>
          <w:rFonts w:ascii="Palatino Linotype" w:hAnsi="Palatino Linotype" w:cs="Arial"/>
          <w:b/>
        </w:rPr>
        <w:t xml:space="preserve">ACUMULADOS </w:t>
      </w:r>
      <w:r w:rsidR="000D67BE">
        <w:rPr>
          <w:rFonts w:ascii="Palatino Linotype" w:hAnsi="Palatino Linotype" w:cs="Arial"/>
          <w:b/>
        </w:rPr>
        <w:t>03739/INFOEM/IP/RR/2018 Y</w:t>
      </w:r>
      <w:r w:rsidR="00705B98" w:rsidRPr="00705B98">
        <w:rPr>
          <w:rFonts w:ascii="Palatino Linotype" w:hAnsi="Palatino Linotype" w:cs="Arial"/>
          <w:b/>
        </w:rPr>
        <w:t xml:space="preserve"> 03866/INFOEM/IP/RR/2018</w:t>
      </w:r>
      <w:r w:rsidRPr="00E42755">
        <w:rPr>
          <w:rFonts w:ascii="Palatino Linotype" w:eastAsia="Calibri" w:hAnsi="Palatino Linotype" w:cs="Arial"/>
          <w:b/>
          <w:color w:val="000000"/>
        </w:rPr>
        <w:t>.</w:t>
      </w:r>
    </w:p>
    <w:p w14:paraId="499F0EB1" w14:textId="024F7029" w:rsidR="00191BEE" w:rsidRPr="006B517F" w:rsidRDefault="0030072F" w:rsidP="00EA51A4">
      <w:pPr>
        <w:spacing w:before="100" w:beforeAutospacing="1" w:after="100" w:afterAutospacing="1" w:line="360" w:lineRule="auto"/>
        <w:jc w:val="both"/>
        <w:rPr>
          <w:rFonts w:ascii="Palatino Linotype" w:hAnsi="Palatino Linotype" w:cs="Arial"/>
        </w:rPr>
      </w:pPr>
      <w:r w:rsidRPr="006B517F">
        <w:rPr>
          <w:rFonts w:ascii="Palatino Linotype" w:hAnsi="Palatino Linotype" w:cs="Arial"/>
        </w:rPr>
        <w:t xml:space="preserve">Con fundamento en lo dispuesto por </w:t>
      </w:r>
      <w:r w:rsidR="00B47F5A" w:rsidRPr="006B517F">
        <w:rPr>
          <w:rFonts w:ascii="Palatino Linotype" w:hAnsi="Palatino Linotype" w:cs="Arial"/>
        </w:rPr>
        <w:t>el</w:t>
      </w:r>
      <w:r w:rsidRPr="006B517F">
        <w:rPr>
          <w:rFonts w:ascii="Palatino Linotype" w:hAnsi="Palatino Linotype" w:cs="Arial"/>
        </w:rPr>
        <w:t xml:space="preserve"> artículo </w:t>
      </w:r>
      <w:r w:rsidR="007D05D8" w:rsidRPr="006B517F">
        <w:rPr>
          <w:rFonts w:ascii="Palatino Linotype" w:hAnsi="Palatino Linotype" w:cs="Arial"/>
        </w:rPr>
        <w:t>14</w:t>
      </w:r>
      <w:r w:rsidR="000D67BE">
        <w:rPr>
          <w:rFonts w:ascii="Palatino Linotype" w:hAnsi="Palatino Linotype" w:cs="Arial"/>
        </w:rPr>
        <w:t>,</w:t>
      </w:r>
      <w:r w:rsidRPr="006B517F">
        <w:rPr>
          <w:rFonts w:ascii="Palatino Linotype" w:hAnsi="Palatino Linotype" w:cs="Arial"/>
        </w:rPr>
        <w:t xml:space="preserve"> fracciones </w:t>
      </w:r>
      <w:r w:rsidR="007D05D8" w:rsidRPr="006B517F">
        <w:rPr>
          <w:rFonts w:ascii="Palatino Linotype" w:hAnsi="Palatino Linotype" w:cs="Arial"/>
        </w:rPr>
        <w:t xml:space="preserve">X y XI </w:t>
      </w:r>
      <w:r w:rsidRPr="006B517F">
        <w:rPr>
          <w:rFonts w:ascii="Palatino Linotype" w:hAnsi="Palatino Linotype" w:cs="Arial"/>
        </w:rPr>
        <w:t>del Reglamento Interior del Instituto de Transparencia, Acceso a la Información Pública y Protección de Datos Personales del Estado de México y Municipios, l</w:t>
      </w:r>
      <w:r w:rsidR="00E42755" w:rsidRPr="006B517F">
        <w:rPr>
          <w:rFonts w:ascii="Palatino Linotype" w:hAnsi="Palatino Linotype" w:cs="Arial"/>
        </w:rPr>
        <w:t>a</w:t>
      </w:r>
      <w:r w:rsidRPr="006B517F">
        <w:rPr>
          <w:rFonts w:ascii="Palatino Linotype" w:hAnsi="Palatino Linotype" w:cs="Arial"/>
        </w:rPr>
        <w:t xml:space="preserve"> que suscribe</w:t>
      </w:r>
      <w:r w:rsidRPr="006B517F">
        <w:rPr>
          <w:rFonts w:ascii="Palatino Linotype" w:hAnsi="Palatino Linotype" w:cs="Arial"/>
          <w:b/>
          <w:lang w:val="es-ES_tradnl"/>
        </w:rPr>
        <w:t xml:space="preserve"> </w:t>
      </w:r>
      <w:r w:rsidRPr="006B517F">
        <w:rPr>
          <w:rFonts w:ascii="Palatino Linotype" w:hAnsi="Palatino Linotype" w:cs="Arial"/>
          <w:b/>
        </w:rPr>
        <w:t xml:space="preserve">EVA ABAID YAPUR </w:t>
      </w:r>
      <w:r w:rsidRPr="006B517F">
        <w:rPr>
          <w:rFonts w:ascii="Palatino Linotype" w:hAnsi="Palatino Linotype" w:cs="Arial"/>
        </w:rPr>
        <w:t xml:space="preserve">emite </w:t>
      </w:r>
      <w:r w:rsidRPr="006B517F">
        <w:rPr>
          <w:rFonts w:ascii="Palatino Linotype" w:hAnsi="Palatino Linotype" w:cs="Arial"/>
          <w:b/>
        </w:rPr>
        <w:t xml:space="preserve">VOTO PARTICULAR </w:t>
      </w:r>
      <w:r w:rsidRPr="006B517F">
        <w:rPr>
          <w:rFonts w:ascii="Palatino Linotype" w:hAnsi="Palatino Linotype" w:cs="Arial"/>
        </w:rPr>
        <w:t xml:space="preserve">respecto de la resolución dictada en </w:t>
      </w:r>
      <w:r w:rsidR="00705B98">
        <w:rPr>
          <w:rFonts w:ascii="Palatino Linotype" w:hAnsi="Palatino Linotype" w:cs="Arial"/>
        </w:rPr>
        <w:t>los</w:t>
      </w:r>
      <w:r w:rsidRPr="006B517F">
        <w:rPr>
          <w:rFonts w:ascii="Palatino Linotype" w:hAnsi="Palatino Linotype" w:cs="Arial"/>
        </w:rPr>
        <w:t xml:space="preserve"> recurso</w:t>
      </w:r>
      <w:r w:rsidR="00705B98">
        <w:rPr>
          <w:rFonts w:ascii="Palatino Linotype" w:hAnsi="Palatino Linotype" w:cs="Arial"/>
        </w:rPr>
        <w:t>s</w:t>
      </w:r>
      <w:r w:rsidRPr="006B517F">
        <w:rPr>
          <w:rFonts w:ascii="Palatino Linotype" w:hAnsi="Palatino Linotype" w:cs="Arial"/>
        </w:rPr>
        <w:t xml:space="preserve"> de revisión</w:t>
      </w:r>
      <w:r w:rsidR="00705B98">
        <w:rPr>
          <w:rFonts w:ascii="Palatino Linotype" w:hAnsi="Palatino Linotype" w:cs="Arial"/>
        </w:rPr>
        <w:t xml:space="preserve"> acumulados</w:t>
      </w:r>
      <w:r w:rsidRPr="006B517F">
        <w:rPr>
          <w:rFonts w:ascii="Palatino Linotype" w:hAnsi="Palatino Linotype" w:cs="Arial"/>
        </w:rPr>
        <w:t xml:space="preserve"> </w:t>
      </w:r>
      <w:r w:rsidR="00705B98" w:rsidRPr="006556E6">
        <w:rPr>
          <w:rFonts w:ascii="Palatino Linotype" w:hAnsi="Palatino Linotype" w:cs="Arial"/>
          <w:b/>
          <w:bCs/>
        </w:rPr>
        <w:t>0</w:t>
      </w:r>
      <w:r w:rsidR="00705B98">
        <w:rPr>
          <w:rFonts w:ascii="Palatino Linotype" w:hAnsi="Palatino Linotype" w:cs="Arial"/>
          <w:b/>
          <w:bCs/>
        </w:rPr>
        <w:t>3739/INFOEM/IP/RR/2018</w:t>
      </w:r>
      <w:r w:rsidR="00705B98" w:rsidRPr="006750E1">
        <w:rPr>
          <w:rFonts w:ascii="Palatino Linotype" w:hAnsi="Palatino Linotype" w:cs="Arial"/>
          <w:b/>
          <w:bCs/>
        </w:rPr>
        <w:t xml:space="preserve"> </w:t>
      </w:r>
      <w:r w:rsidR="00705B98" w:rsidRPr="000D67BE">
        <w:rPr>
          <w:rFonts w:ascii="Palatino Linotype" w:hAnsi="Palatino Linotype" w:cs="Arial"/>
          <w:bCs/>
        </w:rPr>
        <w:t>y</w:t>
      </w:r>
      <w:r w:rsidR="00705B98">
        <w:rPr>
          <w:rFonts w:ascii="Palatino Linotype" w:hAnsi="Palatino Linotype" w:cs="Arial"/>
          <w:b/>
          <w:bCs/>
        </w:rPr>
        <w:t xml:space="preserve"> </w:t>
      </w:r>
      <w:r w:rsidR="00705B98" w:rsidRPr="006556E6">
        <w:rPr>
          <w:rFonts w:ascii="Palatino Linotype" w:hAnsi="Palatino Linotype" w:cs="Arial"/>
          <w:b/>
          <w:bCs/>
        </w:rPr>
        <w:t>0</w:t>
      </w:r>
      <w:r w:rsidR="00705B98">
        <w:rPr>
          <w:rFonts w:ascii="Palatino Linotype" w:hAnsi="Palatino Linotype" w:cs="Arial"/>
          <w:b/>
          <w:bCs/>
        </w:rPr>
        <w:t>3866/INFOEM/IP/RR/2018</w:t>
      </w:r>
      <w:r w:rsidR="00705B98">
        <w:rPr>
          <w:rFonts w:ascii="Palatino Linotype" w:hAnsi="Palatino Linotype" w:cs="Arial"/>
        </w:rPr>
        <w:t xml:space="preserve">, </w:t>
      </w:r>
      <w:r w:rsidRPr="006B517F">
        <w:rPr>
          <w:rFonts w:ascii="Palatino Linotype" w:hAnsi="Palatino Linotype" w:cs="Arial"/>
        </w:rPr>
        <w:t xml:space="preserve">pronunciada por el Pleno de este Instituto ante el proyecto presentado por </w:t>
      </w:r>
      <w:r w:rsidR="006B517F">
        <w:rPr>
          <w:rFonts w:ascii="Palatino Linotype" w:hAnsi="Palatino Linotype" w:cs="Arial"/>
        </w:rPr>
        <w:t>el</w:t>
      </w:r>
      <w:r w:rsidRPr="006B517F">
        <w:rPr>
          <w:rFonts w:ascii="Palatino Linotype" w:hAnsi="Palatino Linotype" w:cs="Arial"/>
        </w:rPr>
        <w:t xml:space="preserve"> Comisionad</w:t>
      </w:r>
      <w:r w:rsidR="006B517F">
        <w:rPr>
          <w:rFonts w:ascii="Palatino Linotype" w:hAnsi="Palatino Linotype" w:cs="Arial"/>
        </w:rPr>
        <w:t>o</w:t>
      </w:r>
      <w:r w:rsidR="003F0C49" w:rsidRPr="006B517F">
        <w:rPr>
          <w:rFonts w:ascii="Palatino Linotype" w:hAnsi="Palatino Linotype" w:cs="Arial"/>
        </w:rPr>
        <w:t xml:space="preserve"> </w:t>
      </w:r>
      <w:r w:rsidR="006B517F">
        <w:rPr>
          <w:rFonts w:ascii="Palatino Linotype" w:hAnsi="Palatino Linotype" w:cs="Arial"/>
          <w:b/>
        </w:rPr>
        <w:t>JAVIER MARTÍNEZ CRUZ</w:t>
      </w:r>
      <w:r w:rsidRPr="006B517F">
        <w:rPr>
          <w:rFonts w:ascii="Palatino Linotype" w:hAnsi="Palatino Linotype" w:cs="Arial"/>
        </w:rPr>
        <w:t xml:space="preserve">, </w:t>
      </w:r>
      <w:r w:rsidR="00C47EB0" w:rsidRPr="006B517F">
        <w:rPr>
          <w:rFonts w:ascii="Palatino Linotype" w:hAnsi="Palatino Linotype" w:cs="Arial"/>
        </w:rPr>
        <w:t>que es del tenor siguiente.</w:t>
      </w:r>
    </w:p>
    <w:p w14:paraId="5853D40E" w14:textId="33EC04C2" w:rsidR="0007653D" w:rsidRPr="006B517F" w:rsidRDefault="0007653D" w:rsidP="00EA51A4">
      <w:pPr>
        <w:spacing w:before="100" w:beforeAutospacing="1" w:after="100" w:afterAutospacing="1" w:line="360" w:lineRule="auto"/>
        <w:jc w:val="both"/>
        <w:rPr>
          <w:rFonts w:ascii="Palatino Linotype" w:hAnsi="Palatino Linotype"/>
        </w:rPr>
      </w:pPr>
      <w:r w:rsidRPr="006B517F">
        <w:rPr>
          <w:rFonts w:ascii="Palatino Linotype" w:hAnsi="Palatino Linotype"/>
        </w:rPr>
        <w:t xml:space="preserve">Es de destacar, que la suscrita comparte </w:t>
      </w:r>
      <w:r w:rsidR="00A04C79" w:rsidRPr="006B517F">
        <w:rPr>
          <w:rFonts w:ascii="Palatino Linotype" w:hAnsi="Palatino Linotype"/>
        </w:rPr>
        <w:t xml:space="preserve">esencialmente el estudio realizado en la resolución </w:t>
      </w:r>
      <w:r w:rsidRPr="006B517F">
        <w:rPr>
          <w:rFonts w:ascii="Palatino Linotype" w:hAnsi="Palatino Linotype"/>
        </w:rPr>
        <w:t>del recurso de revis</w:t>
      </w:r>
      <w:r w:rsidR="00D557C2" w:rsidRPr="006B517F">
        <w:rPr>
          <w:rFonts w:ascii="Palatino Linotype" w:hAnsi="Palatino Linotype"/>
        </w:rPr>
        <w:t xml:space="preserve">ión; empero, </w:t>
      </w:r>
      <w:r w:rsidR="00C47EB0" w:rsidRPr="006B517F">
        <w:rPr>
          <w:rFonts w:ascii="Palatino Linotype" w:hAnsi="Palatino Linotype"/>
        </w:rPr>
        <w:t xml:space="preserve">estimo necesario precisar algunas consideraciones de hecho y de derecho, </w:t>
      </w:r>
      <w:r w:rsidR="00D111DB">
        <w:rPr>
          <w:rFonts w:ascii="Palatino Linotype" w:hAnsi="Palatino Linotype"/>
        </w:rPr>
        <w:t>tocante a</w:t>
      </w:r>
      <w:r w:rsidR="00C47EB0" w:rsidRPr="006B517F">
        <w:rPr>
          <w:rFonts w:ascii="Palatino Linotype" w:hAnsi="Palatino Linotype"/>
        </w:rPr>
        <w:t>l sentido de la resolución correspondiente.</w:t>
      </w:r>
    </w:p>
    <w:p w14:paraId="664A432A" w14:textId="41468AE1" w:rsidR="00555976" w:rsidRDefault="0007653D" w:rsidP="003D4ED1">
      <w:pPr>
        <w:spacing w:before="100" w:beforeAutospacing="1" w:after="100" w:afterAutospacing="1" w:line="360" w:lineRule="auto"/>
        <w:jc w:val="both"/>
        <w:rPr>
          <w:rFonts w:ascii="Palatino Linotype" w:hAnsi="Palatino Linotype"/>
        </w:rPr>
      </w:pPr>
      <w:r w:rsidRPr="006B517F">
        <w:rPr>
          <w:rFonts w:ascii="Palatino Linotype" w:hAnsi="Palatino Linotype"/>
        </w:rPr>
        <w:t>Al respecto, tal y como quedó debidamente asentado en la resolución materia d</w:t>
      </w:r>
      <w:r w:rsidR="00FA294A" w:rsidRPr="006B517F">
        <w:rPr>
          <w:rFonts w:ascii="Palatino Linotype" w:hAnsi="Palatino Linotype"/>
        </w:rPr>
        <w:t xml:space="preserve">el presente voto, el particular </w:t>
      </w:r>
      <w:r w:rsidR="00EE448D" w:rsidRPr="006B517F">
        <w:rPr>
          <w:rFonts w:ascii="Palatino Linotype" w:hAnsi="Palatino Linotype"/>
        </w:rPr>
        <w:t xml:space="preserve">requirió </w:t>
      </w:r>
      <w:r w:rsidR="00FA294A" w:rsidRPr="006B517F">
        <w:rPr>
          <w:rFonts w:ascii="Palatino Linotype" w:hAnsi="Palatino Linotype"/>
        </w:rPr>
        <w:t>al</w:t>
      </w:r>
      <w:r w:rsidR="000A0E3C">
        <w:rPr>
          <w:rFonts w:ascii="Palatino Linotype" w:hAnsi="Palatino Linotype"/>
        </w:rPr>
        <w:t xml:space="preserve"> </w:t>
      </w:r>
      <w:r w:rsidR="000A0E3C">
        <w:rPr>
          <w:rFonts w:ascii="Palatino Linotype" w:hAnsi="Palatino Linotype" w:cs="Arial"/>
          <w:b/>
        </w:rPr>
        <w:t>Ayuntamiento de Tlalnepantla de Baz</w:t>
      </w:r>
      <w:r w:rsidR="000D67BE">
        <w:rPr>
          <w:rFonts w:ascii="Palatino Linotype" w:hAnsi="Palatino Linotype" w:cs="Arial"/>
          <w:b/>
        </w:rPr>
        <w:t>,</w:t>
      </w:r>
      <w:r w:rsidR="000A0E3C">
        <w:rPr>
          <w:rFonts w:ascii="Palatino Linotype" w:hAnsi="Palatino Linotype" w:cs="Arial"/>
          <w:b/>
        </w:rPr>
        <w:t xml:space="preserve"> </w:t>
      </w:r>
      <w:r w:rsidR="000A0E3C">
        <w:rPr>
          <w:rFonts w:ascii="Palatino Linotype" w:hAnsi="Palatino Linotype" w:cs="Arial"/>
        </w:rPr>
        <w:t xml:space="preserve"> en lo subsecuente  </w:t>
      </w:r>
      <w:r w:rsidR="000A0E3C" w:rsidRPr="000A0E3C">
        <w:rPr>
          <w:rFonts w:ascii="Palatino Linotype" w:hAnsi="Palatino Linotype" w:cs="Arial"/>
          <w:b/>
        </w:rPr>
        <w:t>EL</w:t>
      </w:r>
      <w:r w:rsidR="000A0E3C">
        <w:rPr>
          <w:rFonts w:ascii="Palatino Linotype" w:hAnsi="Palatino Linotype"/>
        </w:rPr>
        <w:t xml:space="preserve"> </w:t>
      </w:r>
      <w:r w:rsidR="008C0700" w:rsidRPr="006B517F">
        <w:rPr>
          <w:rFonts w:ascii="Palatino Linotype" w:hAnsi="Palatino Linotype"/>
          <w:b/>
        </w:rPr>
        <w:t>SUJETO OBLIGADO</w:t>
      </w:r>
      <w:r w:rsidR="000D67BE">
        <w:rPr>
          <w:rFonts w:ascii="Palatino Linotype" w:hAnsi="Palatino Linotype"/>
          <w:b/>
        </w:rPr>
        <w:t>,</w:t>
      </w:r>
      <w:r w:rsidR="008C0700" w:rsidRPr="006B517F">
        <w:rPr>
          <w:rFonts w:ascii="Palatino Linotype" w:hAnsi="Palatino Linotype"/>
        </w:rPr>
        <w:t xml:space="preserve"> </w:t>
      </w:r>
      <w:r w:rsidR="000A0E3C">
        <w:rPr>
          <w:rFonts w:ascii="Palatino Linotype" w:hAnsi="Palatino Linotype"/>
        </w:rPr>
        <w:t>lo que se muestra a continuación.</w:t>
      </w:r>
    </w:p>
    <w:p w14:paraId="0ACEA497" w14:textId="1C43FBDB" w:rsidR="000A0E3C" w:rsidRPr="000A0E3C" w:rsidRDefault="000A0E3C" w:rsidP="000A0E3C">
      <w:pPr>
        <w:spacing w:before="100" w:beforeAutospacing="1" w:after="100" w:afterAutospacing="1"/>
        <w:ind w:left="284" w:right="757"/>
        <w:jc w:val="both"/>
        <w:rPr>
          <w:rFonts w:ascii="Palatino Linotype" w:hAnsi="Palatino Linotype" w:cs="Arial"/>
          <w:b/>
          <w:bCs/>
          <w:i/>
          <w:sz w:val="22"/>
          <w:szCs w:val="22"/>
        </w:rPr>
      </w:pPr>
      <w:r w:rsidRPr="000A0E3C">
        <w:rPr>
          <w:rFonts w:ascii="Palatino Linotype" w:hAnsi="Palatino Linotype" w:cs="Arial"/>
          <w:b/>
          <w:bCs/>
          <w:i/>
          <w:sz w:val="22"/>
          <w:szCs w:val="22"/>
        </w:rPr>
        <w:lastRenderedPageBreak/>
        <w:t>00554/TLALNEPA/IP/2018</w:t>
      </w:r>
    </w:p>
    <w:p w14:paraId="7721C318" w14:textId="39A72095" w:rsidR="000A0E3C" w:rsidRPr="000A0E3C" w:rsidRDefault="000A0E3C" w:rsidP="000A0E3C">
      <w:pPr>
        <w:spacing w:before="100" w:beforeAutospacing="1" w:after="100" w:afterAutospacing="1"/>
        <w:ind w:left="284" w:right="757"/>
        <w:jc w:val="both"/>
        <w:rPr>
          <w:rFonts w:ascii="Palatino Linotype" w:hAnsi="Palatino Linotype"/>
          <w:i/>
          <w:sz w:val="22"/>
          <w:szCs w:val="22"/>
        </w:rPr>
      </w:pPr>
      <w:r w:rsidRPr="000A0E3C">
        <w:rPr>
          <w:rFonts w:ascii="Palatino Linotype" w:hAnsi="Palatino Linotype"/>
          <w:i/>
          <w:sz w:val="22"/>
          <w:szCs w:val="22"/>
        </w:rPr>
        <w:t>“Solicito que la Consejera Jurídica me indique el procedimiento para que inicie litigio en contra de Contratistas” (sic)</w:t>
      </w:r>
    </w:p>
    <w:p w14:paraId="5B99C1E7" w14:textId="7866C431" w:rsidR="000A0E3C" w:rsidRPr="000A0E3C" w:rsidRDefault="000A0E3C" w:rsidP="000A0E3C">
      <w:pPr>
        <w:spacing w:before="100" w:beforeAutospacing="1" w:after="100" w:afterAutospacing="1"/>
        <w:ind w:left="284" w:right="757"/>
        <w:jc w:val="both"/>
        <w:rPr>
          <w:rFonts w:ascii="Palatino Linotype" w:hAnsi="Palatino Linotype" w:cs="Arial"/>
          <w:b/>
          <w:bCs/>
          <w:i/>
          <w:sz w:val="22"/>
          <w:szCs w:val="22"/>
        </w:rPr>
      </w:pPr>
      <w:r w:rsidRPr="000A0E3C">
        <w:rPr>
          <w:rFonts w:ascii="Palatino Linotype" w:hAnsi="Palatino Linotype" w:cs="Arial"/>
          <w:b/>
          <w:bCs/>
          <w:i/>
          <w:sz w:val="22"/>
          <w:szCs w:val="22"/>
        </w:rPr>
        <w:t>00613/TLALNEPA/IP/2018</w:t>
      </w:r>
    </w:p>
    <w:p w14:paraId="198190CD" w14:textId="5D50F3AF" w:rsidR="000A0E3C" w:rsidRPr="000A0E3C" w:rsidRDefault="000A0E3C" w:rsidP="000A0E3C">
      <w:pPr>
        <w:spacing w:before="100" w:beforeAutospacing="1" w:after="100" w:afterAutospacing="1"/>
        <w:ind w:left="284" w:right="757"/>
        <w:jc w:val="both"/>
        <w:rPr>
          <w:rFonts w:ascii="Palatino Linotype" w:hAnsi="Palatino Linotype"/>
          <w:i/>
          <w:sz w:val="22"/>
          <w:szCs w:val="22"/>
        </w:rPr>
      </w:pPr>
      <w:r w:rsidRPr="000A0E3C">
        <w:rPr>
          <w:rFonts w:ascii="Palatino Linotype" w:hAnsi="Palatino Linotype"/>
          <w:i/>
          <w:sz w:val="22"/>
          <w:szCs w:val="22"/>
        </w:rPr>
        <w:t xml:space="preserve">“Solicito que la Consejera Jurídica, nos indique el procedimiento para iniciar Litigio a Contratista que incumplió contrato de Obra </w:t>
      </w:r>
      <w:proofErr w:type="spellStart"/>
      <w:r w:rsidRPr="000A0E3C">
        <w:rPr>
          <w:rFonts w:ascii="Palatino Linotype" w:hAnsi="Palatino Linotype"/>
          <w:i/>
          <w:sz w:val="22"/>
          <w:szCs w:val="22"/>
        </w:rPr>
        <w:t>Publica</w:t>
      </w:r>
      <w:proofErr w:type="spellEnd"/>
      <w:r w:rsidRPr="000A0E3C">
        <w:rPr>
          <w:rFonts w:ascii="Palatino Linotype" w:hAnsi="Palatino Linotype"/>
          <w:i/>
          <w:sz w:val="22"/>
          <w:szCs w:val="22"/>
        </w:rPr>
        <w:t>” (sic)</w:t>
      </w:r>
    </w:p>
    <w:p w14:paraId="3E632AEF" w14:textId="1DA2562D" w:rsidR="00937202" w:rsidRDefault="00555976" w:rsidP="003D4ED1">
      <w:pPr>
        <w:spacing w:before="100" w:beforeAutospacing="1" w:after="100" w:afterAutospacing="1" w:line="360" w:lineRule="auto"/>
        <w:jc w:val="both"/>
        <w:rPr>
          <w:rFonts w:ascii="Palatino Linotype" w:hAnsi="Palatino Linotype" w:cs="Arial"/>
        </w:rPr>
      </w:pPr>
      <w:r w:rsidRPr="006B517F">
        <w:rPr>
          <w:rFonts w:ascii="Palatino Linotype" w:hAnsi="Palatino Linotype"/>
        </w:rPr>
        <w:t xml:space="preserve">En respuesta a la solicitud, </w:t>
      </w:r>
      <w:r w:rsidRPr="006B517F">
        <w:rPr>
          <w:rFonts w:ascii="Palatino Linotype" w:hAnsi="Palatino Linotype"/>
          <w:b/>
        </w:rPr>
        <w:t>EL SUJETO OBLIGADO</w:t>
      </w:r>
      <w:r w:rsidRPr="006B517F">
        <w:rPr>
          <w:rFonts w:ascii="Palatino Linotype" w:hAnsi="Palatino Linotype"/>
        </w:rPr>
        <w:t xml:space="preserve"> </w:t>
      </w:r>
      <w:r w:rsidR="00937202">
        <w:rPr>
          <w:rFonts w:ascii="Palatino Linotype" w:hAnsi="Palatino Linotype"/>
        </w:rPr>
        <w:t xml:space="preserve">respecto a la solicitud 00554/TLALNEPA/IP/2018 manifestó que </w:t>
      </w:r>
      <w:r w:rsidR="00937202" w:rsidRPr="005704FE">
        <w:rPr>
          <w:rFonts w:ascii="Palatino Linotype" w:hAnsi="Palatino Linotype" w:cs="Arial"/>
        </w:rPr>
        <w:t>de acuerdo al Código de Procedimientos Civiles del Estado de México corresponde al Tribunal del Poder Judicial del Estado de México, aplicar las leyes en los asuntos del orden civil</w:t>
      </w:r>
      <w:r w:rsidR="00937202">
        <w:rPr>
          <w:rFonts w:ascii="Palatino Linotype" w:hAnsi="Palatino Linotype" w:cs="Arial"/>
        </w:rPr>
        <w:t>, p</w:t>
      </w:r>
      <w:r w:rsidR="00937202" w:rsidRPr="00937202">
        <w:rPr>
          <w:rFonts w:ascii="Palatino Linotype" w:hAnsi="Palatino Linotype" w:cs="Arial"/>
        </w:rPr>
        <w:t xml:space="preserve">or lo que se refiere a la </w:t>
      </w:r>
      <w:r w:rsidR="000D67BE">
        <w:rPr>
          <w:rFonts w:ascii="Palatino Linotype" w:hAnsi="Palatino Linotype" w:cs="Arial"/>
        </w:rPr>
        <w:t xml:space="preserve">diversa </w:t>
      </w:r>
      <w:r w:rsidR="00937202" w:rsidRPr="00937202">
        <w:rPr>
          <w:rFonts w:ascii="Palatino Linotype" w:hAnsi="Palatino Linotype" w:cs="Arial"/>
        </w:rPr>
        <w:t xml:space="preserve">00613/TLANEPA/IP/2018 </w:t>
      </w:r>
      <w:r w:rsidR="00937202">
        <w:rPr>
          <w:rFonts w:ascii="Palatino Linotype" w:hAnsi="Palatino Linotype" w:cs="Arial"/>
        </w:rPr>
        <w:t xml:space="preserve">arguyó que </w:t>
      </w:r>
      <w:r w:rsidR="00937202" w:rsidRPr="00937202">
        <w:rPr>
          <w:rFonts w:ascii="Palatino Linotype" w:hAnsi="Palatino Linotype" w:cs="Arial"/>
        </w:rPr>
        <w:t>las autoridades competentes para iniciar algún procedimiento de rescisión derivado del incumplimiento de un contrato de obra, son la Dirección General de Obras Públicas, así como la Contraloría Interna Municipal</w:t>
      </w:r>
      <w:r w:rsidR="00937202">
        <w:rPr>
          <w:rFonts w:ascii="Palatino Linotype" w:hAnsi="Palatino Linotype" w:cs="Arial"/>
        </w:rPr>
        <w:t>.</w:t>
      </w:r>
    </w:p>
    <w:p w14:paraId="5FC8FCB6" w14:textId="77D0B717" w:rsidR="002E1B3D" w:rsidRPr="00E72383" w:rsidRDefault="00555976" w:rsidP="00E72383">
      <w:pPr>
        <w:spacing w:before="100" w:beforeAutospacing="1" w:after="100" w:afterAutospacing="1" w:line="360" w:lineRule="auto"/>
        <w:jc w:val="both"/>
        <w:rPr>
          <w:rFonts w:ascii="Palatino Linotype" w:hAnsi="Palatino Linotype" w:cs="Arial"/>
        </w:rPr>
      </w:pPr>
      <w:r w:rsidRPr="006B517F">
        <w:rPr>
          <w:rFonts w:ascii="Palatino Linotype" w:hAnsi="Palatino Linotype" w:cs="Arial"/>
        </w:rPr>
        <w:t xml:space="preserve">Inconforme con la respuesta, </w:t>
      </w:r>
      <w:r w:rsidRPr="006B517F">
        <w:rPr>
          <w:rFonts w:ascii="Palatino Linotype" w:hAnsi="Palatino Linotype" w:cs="Arial"/>
          <w:b/>
        </w:rPr>
        <w:t>EL RECURRENTE</w:t>
      </w:r>
      <w:r w:rsidRPr="006B517F">
        <w:rPr>
          <w:rFonts w:ascii="Palatino Linotype" w:hAnsi="Palatino Linotype" w:cs="Arial"/>
        </w:rPr>
        <w:t xml:space="preserve"> interpuso el recurso de revisión de mérito, manifestando</w:t>
      </w:r>
      <w:r w:rsidR="00E72383">
        <w:rPr>
          <w:rFonts w:ascii="Palatino Linotype" w:hAnsi="Palatino Linotype" w:cs="Arial"/>
        </w:rPr>
        <w:t xml:space="preserve"> medularmente</w:t>
      </w:r>
      <w:r w:rsidRPr="006B517F">
        <w:rPr>
          <w:rFonts w:ascii="Palatino Linotype" w:hAnsi="Palatino Linotype" w:cs="Arial"/>
        </w:rPr>
        <w:t xml:space="preserve"> como razones o motivos de </w:t>
      </w:r>
      <w:r w:rsidR="00E72383">
        <w:rPr>
          <w:rFonts w:ascii="Palatino Linotype" w:hAnsi="Palatino Linotype" w:cs="Arial"/>
        </w:rPr>
        <w:t>inconformidad que no se le daba una respuesta concreta con la cual se pudiera satisfacer su derecho de acceso a la información pública.</w:t>
      </w:r>
    </w:p>
    <w:p w14:paraId="60249D3C" w14:textId="4573C643" w:rsidR="00555976" w:rsidRDefault="00555976" w:rsidP="006B517F">
      <w:pPr>
        <w:spacing w:line="360" w:lineRule="auto"/>
        <w:jc w:val="both"/>
        <w:rPr>
          <w:rFonts w:ascii="Palatino Linotype" w:hAnsi="Palatino Linotype" w:cs="Arial"/>
        </w:rPr>
      </w:pPr>
      <w:r w:rsidRPr="006B517F">
        <w:rPr>
          <w:rFonts w:ascii="Palatino Linotype" w:hAnsi="Palatino Linotype" w:cs="Arial"/>
        </w:rPr>
        <w:t xml:space="preserve">Así, de conformidad con el estudio de mérito, la Ponencia </w:t>
      </w:r>
      <w:proofErr w:type="spellStart"/>
      <w:r w:rsidRPr="006B517F">
        <w:rPr>
          <w:rFonts w:ascii="Palatino Linotype" w:hAnsi="Palatino Linotype" w:cs="Arial"/>
        </w:rPr>
        <w:t>Resolutora</w:t>
      </w:r>
      <w:proofErr w:type="spellEnd"/>
      <w:r w:rsidRPr="006B517F">
        <w:rPr>
          <w:rFonts w:ascii="Palatino Linotype" w:hAnsi="Palatino Linotype" w:cs="Arial"/>
        </w:rPr>
        <w:t xml:space="preserve"> determinó </w:t>
      </w:r>
      <w:r w:rsidRPr="006B517F">
        <w:rPr>
          <w:rFonts w:ascii="Palatino Linotype" w:hAnsi="Palatino Linotype" w:cs="Arial"/>
          <w:b/>
        </w:rPr>
        <w:t>SOBRESEER</w:t>
      </w:r>
      <w:r w:rsidRPr="006B517F">
        <w:rPr>
          <w:rFonts w:ascii="Palatino Linotype" w:hAnsi="Palatino Linotype" w:cs="Arial"/>
        </w:rPr>
        <w:t xml:space="preserve"> en el recurso de revisión, al señalar que se actualizaban los supuestos previstos en</w:t>
      </w:r>
      <w:r w:rsidR="00204E3D">
        <w:rPr>
          <w:rFonts w:ascii="Palatino Linotype" w:hAnsi="Palatino Linotype" w:cs="Arial"/>
        </w:rPr>
        <w:t xml:space="preserve"> el artículo 192 fracción IV</w:t>
      </w:r>
      <w:r w:rsidRPr="006B517F">
        <w:rPr>
          <w:rFonts w:ascii="Palatino Linotype" w:hAnsi="Palatino Linotype" w:cs="Arial"/>
        </w:rPr>
        <w:t xml:space="preserve"> de la </w:t>
      </w:r>
      <w:r w:rsidR="0087790E">
        <w:rPr>
          <w:rFonts w:ascii="Palatino Linotype" w:hAnsi="Palatino Linotype" w:cs="Arial"/>
        </w:rPr>
        <w:t>L</w:t>
      </w:r>
      <w:r w:rsidR="00204E3D">
        <w:rPr>
          <w:rFonts w:ascii="Palatino Linotype" w:hAnsi="Palatino Linotype" w:cs="Arial"/>
        </w:rPr>
        <w:t xml:space="preserve">ey </w:t>
      </w:r>
      <w:r w:rsidR="000D67BE">
        <w:rPr>
          <w:rFonts w:ascii="Palatino Linotype" w:hAnsi="Palatino Linotype" w:cs="Arial"/>
        </w:rPr>
        <w:t xml:space="preserve">de la materia, </w:t>
      </w:r>
      <w:r w:rsidR="00204E3D">
        <w:rPr>
          <w:rFonts w:ascii="Palatino Linotype" w:hAnsi="Palatino Linotype" w:cs="Arial"/>
        </w:rPr>
        <w:t xml:space="preserve">en </w:t>
      </w:r>
      <w:proofErr w:type="spellStart"/>
      <w:r w:rsidR="00204E3D">
        <w:rPr>
          <w:rFonts w:ascii="Palatino Linotype" w:hAnsi="Palatino Linotype" w:cs="Arial"/>
        </w:rPr>
        <w:t>coadyuvancia</w:t>
      </w:r>
      <w:proofErr w:type="spellEnd"/>
      <w:r w:rsidR="00204E3D">
        <w:rPr>
          <w:rFonts w:ascii="Palatino Linotype" w:hAnsi="Palatino Linotype" w:cs="Arial"/>
        </w:rPr>
        <w:t xml:space="preserve"> con el 191</w:t>
      </w:r>
      <w:r w:rsidRPr="006B517F">
        <w:rPr>
          <w:rFonts w:ascii="Palatino Linotype" w:hAnsi="Palatino Linotype" w:cs="Arial"/>
        </w:rPr>
        <w:t xml:space="preserve"> fr</w:t>
      </w:r>
      <w:r w:rsidR="00204E3D">
        <w:rPr>
          <w:rFonts w:ascii="Palatino Linotype" w:hAnsi="Palatino Linotype" w:cs="Arial"/>
        </w:rPr>
        <w:t xml:space="preserve">acción </w:t>
      </w:r>
      <w:r w:rsidRPr="006B517F">
        <w:rPr>
          <w:rFonts w:ascii="Palatino Linotype" w:hAnsi="Palatino Linotype" w:cs="Arial"/>
        </w:rPr>
        <w:t>V</w:t>
      </w:r>
      <w:r w:rsidR="00204E3D">
        <w:rPr>
          <w:rFonts w:ascii="Palatino Linotype" w:hAnsi="Palatino Linotype" w:cs="Arial"/>
        </w:rPr>
        <w:t>I</w:t>
      </w:r>
      <w:r w:rsidRPr="006B517F">
        <w:rPr>
          <w:rFonts w:ascii="Palatino Linotype" w:hAnsi="Palatino Linotype" w:cs="Arial"/>
        </w:rPr>
        <w:t>.</w:t>
      </w:r>
    </w:p>
    <w:p w14:paraId="6BDD81E0" w14:textId="02277F2A" w:rsidR="007C560A" w:rsidRPr="006B517F" w:rsidRDefault="00C920B8" w:rsidP="006B517F">
      <w:pPr>
        <w:spacing w:line="360" w:lineRule="auto"/>
        <w:jc w:val="both"/>
        <w:rPr>
          <w:rFonts w:ascii="Palatino Linotype" w:hAnsi="Palatino Linotype" w:cs="Arial"/>
          <w:lang w:val="es-MX"/>
        </w:rPr>
      </w:pPr>
      <w:r w:rsidRPr="006B517F">
        <w:rPr>
          <w:rFonts w:ascii="Palatino Linotype" w:hAnsi="Palatino Linotype" w:cs="Arial"/>
          <w:lang w:val="es-MX"/>
        </w:rPr>
        <w:lastRenderedPageBreak/>
        <w:t>De lo anterior</w:t>
      </w:r>
      <w:r w:rsidR="00600720" w:rsidRPr="006B517F">
        <w:rPr>
          <w:rFonts w:ascii="Palatino Linotype" w:hAnsi="Palatino Linotype" w:cs="Arial"/>
          <w:lang w:val="es-MX"/>
        </w:rPr>
        <w:t>,</w:t>
      </w:r>
      <w:r w:rsidRPr="006B517F">
        <w:rPr>
          <w:rFonts w:ascii="Palatino Linotype" w:hAnsi="Palatino Linotype" w:cs="Arial"/>
          <w:lang w:val="es-MX"/>
        </w:rPr>
        <w:t xml:space="preserve"> es conveniente señalar que</w:t>
      </w:r>
      <w:r w:rsidR="00600720" w:rsidRPr="006B517F">
        <w:rPr>
          <w:rFonts w:ascii="Palatino Linotype" w:hAnsi="Palatino Linotype" w:cs="Arial"/>
          <w:lang w:val="es-MX"/>
        </w:rPr>
        <w:t xml:space="preserve"> </w:t>
      </w:r>
      <w:r w:rsidRPr="006B517F">
        <w:rPr>
          <w:rFonts w:ascii="Palatino Linotype" w:hAnsi="Palatino Linotype" w:cs="Arial"/>
          <w:lang w:val="es-MX"/>
        </w:rPr>
        <w:t>de la solicitud del particular,</w:t>
      </w:r>
      <w:r w:rsidR="00600720" w:rsidRPr="006B517F">
        <w:rPr>
          <w:rFonts w:ascii="Palatino Linotype" w:hAnsi="Palatino Linotype" w:cs="Arial"/>
          <w:lang w:val="es-MX"/>
        </w:rPr>
        <w:t xml:space="preserve"> </w:t>
      </w:r>
      <w:r w:rsidR="00D111DB">
        <w:rPr>
          <w:rFonts w:ascii="Palatino Linotype" w:hAnsi="Palatino Linotype" w:cs="Arial"/>
          <w:lang w:val="es-MX"/>
        </w:rPr>
        <w:t xml:space="preserve">se advierte </w:t>
      </w:r>
      <w:r w:rsidR="00555976" w:rsidRPr="006B517F">
        <w:rPr>
          <w:rFonts w:ascii="Palatino Linotype" w:hAnsi="Palatino Linotype" w:cs="Arial"/>
          <w:lang w:val="es-MX"/>
        </w:rPr>
        <w:t xml:space="preserve">que </w:t>
      </w:r>
      <w:r w:rsidR="00600720" w:rsidRPr="006B517F">
        <w:rPr>
          <w:rFonts w:ascii="Palatino Linotype" w:hAnsi="Palatino Linotype" w:cs="Arial"/>
          <w:lang w:val="es-MX"/>
        </w:rPr>
        <w:t xml:space="preserve">no existen documentos </w:t>
      </w:r>
      <w:r w:rsidRPr="006B517F">
        <w:rPr>
          <w:rFonts w:ascii="Palatino Linotype" w:hAnsi="Palatino Linotype" w:cs="Arial"/>
          <w:lang w:val="es-MX"/>
        </w:rPr>
        <w:t xml:space="preserve">que </w:t>
      </w:r>
      <w:r w:rsidRPr="006B517F">
        <w:rPr>
          <w:rFonts w:ascii="Palatino Linotype" w:hAnsi="Palatino Linotype" w:cs="Arial"/>
          <w:b/>
          <w:lang w:val="es-MX"/>
        </w:rPr>
        <w:t>EL SUJETO OBLIGADO</w:t>
      </w:r>
      <w:r w:rsidRPr="006B517F">
        <w:rPr>
          <w:rFonts w:ascii="Palatino Linotype" w:hAnsi="Palatino Linotype" w:cs="Arial"/>
          <w:lang w:val="es-MX"/>
        </w:rPr>
        <w:t xml:space="preserve"> genere, posea o administre que permitan satisfacer</w:t>
      </w:r>
      <w:r w:rsidR="00600720" w:rsidRPr="006B517F">
        <w:rPr>
          <w:rFonts w:ascii="Palatino Linotype" w:hAnsi="Palatino Linotype" w:cs="Arial"/>
          <w:lang w:val="es-MX"/>
        </w:rPr>
        <w:t xml:space="preserve"> los requerimientos hechos por el particular</w:t>
      </w:r>
      <w:r w:rsidR="00436EB5" w:rsidRPr="006B517F">
        <w:rPr>
          <w:rFonts w:ascii="Palatino Linotype" w:hAnsi="Palatino Linotype" w:cs="Arial"/>
          <w:lang w:val="es-MX"/>
        </w:rPr>
        <w:t xml:space="preserve">, </w:t>
      </w:r>
      <w:r w:rsidRPr="006B517F">
        <w:rPr>
          <w:rFonts w:ascii="Palatino Linotype" w:hAnsi="Palatino Linotype" w:cs="Arial"/>
          <w:lang w:val="es-MX"/>
        </w:rPr>
        <w:t>toda vez q</w:t>
      </w:r>
      <w:r w:rsidR="00436EB5" w:rsidRPr="006B517F">
        <w:rPr>
          <w:rFonts w:ascii="Palatino Linotype" w:hAnsi="Palatino Linotype" w:cs="Arial"/>
          <w:lang w:val="es-MX"/>
        </w:rPr>
        <w:t xml:space="preserve">ue </w:t>
      </w:r>
      <w:r w:rsidR="00867511" w:rsidRPr="006B517F">
        <w:rPr>
          <w:rFonts w:ascii="Palatino Linotype" w:hAnsi="Palatino Linotype" w:cs="Arial"/>
          <w:b/>
          <w:lang w:val="es-MX"/>
        </w:rPr>
        <w:t>EL</w:t>
      </w:r>
      <w:r w:rsidR="00867511" w:rsidRPr="006B517F">
        <w:rPr>
          <w:rFonts w:ascii="Palatino Linotype" w:hAnsi="Palatino Linotype" w:cs="Arial"/>
          <w:lang w:val="es-MX"/>
        </w:rPr>
        <w:t xml:space="preserve"> </w:t>
      </w:r>
      <w:r w:rsidR="00867511" w:rsidRPr="006B517F">
        <w:rPr>
          <w:rFonts w:ascii="Palatino Linotype" w:hAnsi="Palatino Linotype" w:cs="Arial"/>
          <w:b/>
          <w:lang w:val="es-MX"/>
        </w:rPr>
        <w:t xml:space="preserve">RECURRENTE </w:t>
      </w:r>
      <w:r w:rsidR="00D111DB">
        <w:rPr>
          <w:rFonts w:ascii="Palatino Linotype" w:hAnsi="Palatino Linotype" w:cs="Arial"/>
          <w:lang w:val="es-MX"/>
        </w:rPr>
        <w:t>lo que solicitó</w:t>
      </w:r>
      <w:r w:rsidR="00436EB5" w:rsidRPr="006B517F">
        <w:rPr>
          <w:rFonts w:ascii="Palatino Linotype" w:hAnsi="Palatino Linotype" w:cs="Arial"/>
          <w:lang w:val="es-MX"/>
        </w:rPr>
        <w:t xml:space="preserve"> es un pronunciamiento por parte del </w:t>
      </w:r>
      <w:r w:rsidR="00436EB5" w:rsidRPr="006B517F">
        <w:rPr>
          <w:rFonts w:ascii="Palatino Linotype" w:hAnsi="Palatino Linotype" w:cs="Arial"/>
          <w:b/>
          <w:lang w:val="es-MX"/>
        </w:rPr>
        <w:t>SUJETO OBLIGADO</w:t>
      </w:r>
      <w:r w:rsidR="0087790E">
        <w:rPr>
          <w:rFonts w:ascii="Palatino Linotype" w:hAnsi="Palatino Linotype" w:cs="Arial"/>
          <w:lang w:val="es-MX"/>
        </w:rPr>
        <w:t xml:space="preserve">, tendiente a dar </w:t>
      </w:r>
      <w:r w:rsidR="000D67BE">
        <w:rPr>
          <w:rFonts w:ascii="Palatino Linotype" w:hAnsi="Palatino Linotype" w:cs="Arial"/>
          <w:lang w:val="es-MX"/>
        </w:rPr>
        <w:t>contestación puntual a</w:t>
      </w:r>
      <w:r w:rsidR="0087790E">
        <w:rPr>
          <w:rFonts w:ascii="Palatino Linotype" w:hAnsi="Palatino Linotype" w:cs="Arial"/>
          <w:lang w:val="es-MX"/>
        </w:rPr>
        <w:t xml:space="preserve"> un derecho de petición ejercido por el particular.</w:t>
      </w:r>
    </w:p>
    <w:p w14:paraId="54FDA71C" w14:textId="77777777" w:rsidR="00867511" w:rsidRPr="006B517F" w:rsidRDefault="00867511" w:rsidP="006B517F">
      <w:pPr>
        <w:spacing w:line="360" w:lineRule="auto"/>
        <w:jc w:val="both"/>
        <w:rPr>
          <w:rFonts w:ascii="Palatino Linotype" w:hAnsi="Palatino Linotype" w:cs="Arial"/>
          <w:lang w:val="es-MX"/>
        </w:rPr>
      </w:pPr>
    </w:p>
    <w:p w14:paraId="2643C7AC" w14:textId="295EE5EB" w:rsidR="005A46F9" w:rsidRPr="006B517F" w:rsidRDefault="00436EB5" w:rsidP="006B517F">
      <w:pPr>
        <w:autoSpaceDE w:val="0"/>
        <w:autoSpaceDN w:val="0"/>
        <w:adjustRightInd w:val="0"/>
        <w:spacing w:line="360" w:lineRule="auto"/>
        <w:jc w:val="both"/>
        <w:rPr>
          <w:rFonts w:ascii="Palatino Linotype" w:hAnsi="Palatino Linotype" w:cs="Arial"/>
        </w:rPr>
      </w:pPr>
      <w:r w:rsidRPr="006B517F">
        <w:rPr>
          <w:rFonts w:ascii="Palatino Linotype" w:hAnsi="Palatino Linotype" w:cs="Arial"/>
          <w:lang w:val="es-MX"/>
        </w:rPr>
        <w:t>Es</w:t>
      </w:r>
      <w:r w:rsidR="0087790E">
        <w:rPr>
          <w:rFonts w:ascii="Palatino Linotype" w:hAnsi="Palatino Linotype" w:cs="Arial"/>
          <w:lang w:val="es-MX"/>
        </w:rPr>
        <w:t xml:space="preserve"> así</w:t>
      </w:r>
      <w:r w:rsidRPr="006B517F">
        <w:rPr>
          <w:rFonts w:ascii="Palatino Linotype" w:hAnsi="Palatino Linotype" w:cs="Arial"/>
          <w:lang w:val="es-MX"/>
        </w:rPr>
        <w:t xml:space="preserve"> que</w:t>
      </w:r>
      <w:r w:rsidR="0087790E">
        <w:rPr>
          <w:rFonts w:ascii="Palatino Linotype" w:hAnsi="Palatino Linotype" w:cs="Arial"/>
          <w:lang w:val="es-MX"/>
        </w:rPr>
        <w:t>,</w:t>
      </w:r>
      <w:r w:rsidRPr="006B517F">
        <w:rPr>
          <w:rFonts w:ascii="Palatino Linotype" w:hAnsi="Palatino Linotype" w:cs="Arial"/>
          <w:lang w:val="es-MX"/>
        </w:rPr>
        <w:t xml:space="preserve"> se considera que lo requerido por el particular no corresponde a una solicitud de acceso a la información</w:t>
      </w:r>
      <w:r w:rsidR="00867511" w:rsidRPr="006B517F">
        <w:rPr>
          <w:rFonts w:ascii="Palatino Linotype" w:hAnsi="Palatino Linotype" w:cs="Arial"/>
          <w:lang w:val="es-MX"/>
        </w:rPr>
        <w:t xml:space="preserve"> pública,</w:t>
      </w:r>
      <w:r w:rsidRPr="006B517F">
        <w:rPr>
          <w:rFonts w:ascii="Palatino Linotype" w:hAnsi="Palatino Linotype" w:cs="Arial"/>
          <w:lang w:val="es-MX"/>
        </w:rPr>
        <w:t xml:space="preserve"> sino a un Derecho de Petición, </w:t>
      </w:r>
      <w:r w:rsidR="005A46F9" w:rsidRPr="006B517F">
        <w:rPr>
          <w:rFonts w:ascii="Palatino Linotype" w:hAnsi="Palatino Linotype" w:cs="Arial"/>
        </w:rPr>
        <w:t xml:space="preserve">en este orden de ideas, es </w:t>
      </w:r>
      <w:r w:rsidR="00B56E47" w:rsidRPr="006B517F">
        <w:rPr>
          <w:rFonts w:ascii="Palatino Linotype" w:hAnsi="Palatino Linotype" w:cs="Arial"/>
        </w:rPr>
        <w:t>importante dejar en claro lo qu</w:t>
      </w:r>
      <w:r w:rsidR="00F04F4E">
        <w:rPr>
          <w:rFonts w:ascii="Palatino Linotype" w:hAnsi="Palatino Linotype" w:cs="Arial"/>
        </w:rPr>
        <w:t>e</w:t>
      </w:r>
      <w:r w:rsidR="005A46F9" w:rsidRPr="006B517F">
        <w:rPr>
          <w:rFonts w:ascii="Palatino Linotype" w:hAnsi="Palatino Linotype" w:cs="Arial"/>
        </w:rPr>
        <w:t xml:space="preserve"> debe entenderse por derecho de petición, así como por derecho de acceso a la información pública, con el objeto de distinguir el ejercicio de ambos derechos.</w:t>
      </w:r>
    </w:p>
    <w:p w14:paraId="114FC749" w14:textId="77777777" w:rsidR="005A46F9" w:rsidRPr="006B517F" w:rsidRDefault="005A46F9" w:rsidP="006B517F">
      <w:pPr>
        <w:autoSpaceDE w:val="0"/>
        <w:autoSpaceDN w:val="0"/>
        <w:adjustRightInd w:val="0"/>
        <w:spacing w:line="360" w:lineRule="auto"/>
        <w:jc w:val="both"/>
        <w:rPr>
          <w:rFonts w:ascii="Palatino Linotype" w:hAnsi="Palatino Linotype" w:cs="Arial"/>
        </w:rPr>
      </w:pPr>
    </w:p>
    <w:p w14:paraId="3C9CFF08" w14:textId="77777777" w:rsidR="005A46F9" w:rsidRPr="006B517F" w:rsidRDefault="005A46F9" w:rsidP="006B517F">
      <w:pPr>
        <w:autoSpaceDE w:val="0"/>
        <w:autoSpaceDN w:val="0"/>
        <w:adjustRightInd w:val="0"/>
        <w:spacing w:line="360" w:lineRule="auto"/>
        <w:jc w:val="both"/>
        <w:rPr>
          <w:rFonts w:ascii="Palatino Linotype" w:hAnsi="Palatino Linotype" w:cs="Arial"/>
        </w:rPr>
      </w:pPr>
      <w:r w:rsidRPr="006B517F">
        <w:rPr>
          <w:rFonts w:ascii="Palatino Linotype" w:hAnsi="Palatino Linotype" w:cs="Arial"/>
        </w:rPr>
        <w:t xml:space="preserve">Por lo que respecta a la definición de Derecho de Petición, el Maestro Ignacio Burgoa Orihuela refiere: </w:t>
      </w:r>
    </w:p>
    <w:p w14:paraId="6DF0A2A1" w14:textId="77777777" w:rsidR="005A46F9" w:rsidRPr="006B517F" w:rsidRDefault="005A46F9" w:rsidP="006B517F">
      <w:pPr>
        <w:autoSpaceDE w:val="0"/>
        <w:autoSpaceDN w:val="0"/>
        <w:adjustRightInd w:val="0"/>
        <w:spacing w:line="360" w:lineRule="auto"/>
        <w:jc w:val="both"/>
        <w:rPr>
          <w:rFonts w:ascii="Palatino Linotype" w:hAnsi="Palatino Linotype" w:cs="Arial"/>
        </w:rPr>
      </w:pPr>
    </w:p>
    <w:p w14:paraId="439BFAB1" w14:textId="77777777" w:rsidR="005A46F9" w:rsidRPr="00F04F4E" w:rsidRDefault="005A46F9" w:rsidP="00F04F4E">
      <w:pPr>
        <w:tabs>
          <w:tab w:val="left" w:pos="9214"/>
        </w:tabs>
        <w:ind w:left="709" w:right="757"/>
        <w:jc w:val="both"/>
        <w:rPr>
          <w:rFonts w:ascii="Palatino Linotype" w:hAnsi="Palatino Linotype"/>
          <w:sz w:val="22"/>
          <w:lang w:eastAsia="es-MX"/>
        </w:rPr>
      </w:pPr>
      <w:r w:rsidRPr="00F04F4E">
        <w:rPr>
          <w:rFonts w:ascii="Palatino Linotype" w:hAnsi="Palatino Linotype"/>
          <w:i/>
          <w:sz w:val="22"/>
          <w:lang w:eastAsia="es-MX"/>
        </w:rPr>
        <w:t>“… 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F04F4E">
        <w:rPr>
          <w:rFonts w:ascii="Palatino Linotype" w:hAnsi="Palatino Linotype"/>
          <w:sz w:val="22"/>
          <w:lang w:eastAsia="es-MX"/>
        </w:rPr>
        <w:t>Sic)</w:t>
      </w:r>
    </w:p>
    <w:p w14:paraId="51ED2A0C" w14:textId="77777777" w:rsidR="005A46F9" w:rsidRPr="006B517F" w:rsidRDefault="005A46F9" w:rsidP="006B517F">
      <w:pPr>
        <w:tabs>
          <w:tab w:val="left" w:pos="9214"/>
        </w:tabs>
        <w:spacing w:line="360" w:lineRule="auto"/>
        <w:ind w:left="709" w:right="709"/>
        <w:jc w:val="both"/>
        <w:rPr>
          <w:rFonts w:ascii="Palatino Linotype" w:hAnsi="Palatino Linotype"/>
          <w:i/>
          <w:lang w:eastAsia="es-MX"/>
        </w:rPr>
      </w:pPr>
    </w:p>
    <w:p w14:paraId="1272EEB8" w14:textId="77777777" w:rsidR="005A46F9" w:rsidRPr="006B517F" w:rsidRDefault="005A46F9" w:rsidP="006B517F">
      <w:pPr>
        <w:autoSpaceDE w:val="0"/>
        <w:autoSpaceDN w:val="0"/>
        <w:adjustRightInd w:val="0"/>
        <w:spacing w:line="360" w:lineRule="auto"/>
        <w:jc w:val="both"/>
        <w:rPr>
          <w:rFonts w:ascii="Palatino Linotype" w:hAnsi="Palatino Linotype" w:cs="Arial"/>
        </w:rPr>
      </w:pPr>
      <w:r w:rsidRPr="006B517F">
        <w:rPr>
          <w:rFonts w:ascii="Palatino Linotype" w:hAnsi="Palatino Linotype" w:cs="Arial"/>
        </w:rPr>
        <w:t xml:space="preserve">Por su parte, David Cienfuegos Salgado, concibe al derecho de petición como: </w:t>
      </w:r>
    </w:p>
    <w:p w14:paraId="741817E6" w14:textId="77777777" w:rsidR="00555976" w:rsidRPr="006B517F" w:rsidRDefault="00555976" w:rsidP="006B517F">
      <w:pPr>
        <w:autoSpaceDE w:val="0"/>
        <w:autoSpaceDN w:val="0"/>
        <w:adjustRightInd w:val="0"/>
        <w:spacing w:line="360" w:lineRule="auto"/>
        <w:jc w:val="both"/>
        <w:rPr>
          <w:rFonts w:ascii="Palatino Linotype" w:hAnsi="Palatino Linotype" w:cs="Arial"/>
        </w:rPr>
      </w:pPr>
    </w:p>
    <w:p w14:paraId="674B13CD" w14:textId="77777777" w:rsidR="009B54A6" w:rsidRDefault="009B54A6" w:rsidP="00F04F4E">
      <w:pPr>
        <w:tabs>
          <w:tab w:val="left" w:pos="9214"/>
        </w:tabs>
        <w:ind w:left="709" w:right="757"/>
        <w:jc w:val="both"/>
        <w:rPr>
          <w:rFonts w:ascii="Palatino Linotype" w:hAnsi="Palatino Linotype"/>
          <w:i/>
          <w:sz w:val="22"/>
          <w:lang w:eastAsia="es-MX"/>
        </w:rPr>
      </w:pPr>
    </w:p>
    <w:p w14:paraId="46439915" w14:textId="77777777" w:rsidR="009B54A6" w:rsidRDefault="009B54A6" w:rsidP="00F04F4E">
      <w:pPr>
        <w:tabs>
          <w:tab w:val="left" w:pos="9214"/>
        </w:tabs>
        <w:ind w:left="709" w:right="757"/>
        <w:jc w:val="both"/>
        <w:rPr>
          <w:rFonts w:ascii="Palatino Linotype" w:hAnsi="Palatino Linotype"/>
          <w:i/>
          <w:sz w:val="22"/>
          <w:lang w:eastAsia="es-MX"/>
        </w:rPr>
      </w:pPr>
    </w:p>
    <w:p w14:paraId="5E3CD2F2" w14:textId="77777777" w:rsidR="005A46F9" w:rsidRPr="00F04F4E" w:rsidRDefault="005A46F9" w:rsidP="00F04F4E">
      <w:pPr>
        <w:tabs>
          <w:tab w:val="left" w:pos="9214"/>
        </w:tabs>
        <w:ind w:left="709" w:right="757"/>
        <w:jc w:val="both"/>
        <w:rPr>
          <w:rFonts w:ascii="Palatino Linotype" w:hAnsi="Palatino Linotype"/>
          <w:sz w:val="22"/>
          <w:lang w:eastAsia="es-MX"/>
        </w:rPr>
      </w:pPr>
      <w:r w:rsidRPr="00F04F4E">
        <w:rPr>
          <w:rFonts w:ascii="Palatino Linotype" w:hAnsi="Palatino Linotype"/>
          <w:i/>
          <w:sz w:val="22"/>
          <w:lang w:eastAsia="es-MX"/>
        </w:rPr>
        <w:t xml:space="preserve">“… el derecho de toda persona a ser escuchado por quienes ejercen el poder público...” </w:t>
      </w:r>
      <w:r w:rsidRPr="00F04F4E">
        <w:rPr>
          <w:rFonts w:ascii="Palatino Linotype" w:hAnsi="Palatino Linotype"/>
          <w:sz w:val="22"/>
          <w:lang w:eastAsia="es-MX"/>
        </w:rPr>
        <w:t xml:space="preserve">(Sic) </w:t>
      </w:r>
    </w:p>
    <w:p w14:paraId="5E758067" w14:textId="77777777" w:rsidR="005A46F9" w:rsidRPr="006B517F" w:rsidRDefault="005A46F9" w:rsidP="006B517F">
      <w:pPr>
        <w:tabs>
          <w:tab w:val="left" w:pos="9214"/>
        </w:tabs>
        <w:spacing w:line="360" w:lineRule="auto"/>
        <w:ind w:left="709" w:right="709"/>
        <w:jc w:val="both"/>
        <w:rPr>
          <w:rFonts w:ascii="Palatino Linotype" w:hAnsi="Palatino Linotype"/>
          <w:i/>
          <w:lang w:eastAsia="es-MX"/>
        </w:rPr>
      </w:pPr>
    </w:p>
    <w:p w14:paraId="5CCBDE3C" w14:textId="77777777" w:rsidR="005A46F9" w:rsidRPr="006B517F" w:rsidRDefault="005A46F9" w:rsidP="006B517F">
      <w:pPr>
        <w:autoSpaceDE w:val="0"/>
        <w:autoSpaceDN w:val="0"/>
        <w:adjustRightInd w:val="0"/>
        <w:spacing w:line="360" w:lineRule="auto"/>
        <w:jc w:val="both"/>
        <w:rPr>
          <w:rFonts w:ascii="Palatino Linotype" w:hAnsi="Palatino Linotype" w:cs="Arial"/>
        </w:rPr>
      </w:pPr>
      <w:r w:rsidRPr="006B517F">
        <w:rPr>
          <w:rFonts w:ascii="Palatino Linotype" w:hAnsi="Palatino Linotype" w:cs="Arial"/>
        </w:rPr>
        <w:t xml:space="preserve">Así, para diferenciar el derecho de petición del derecho de acceso a la información, resulta conducente señalar que José Guadalupe Robles, conceptualiza al derecho a la información como: </w:t>
      </w:r>
    </w:p>
    <w:p w14:paraId="3D8D62E7" w14:textId="77777777" w:rsidR="00555976" w:rsidRPr="006B517F" w:rsidRDefault="00555976" w:rsidP="006B517F">
      <w:pPr>
        <w:autoSpaceDE w:val="0"/>
        <w:autoSpaceDN w:val="0"/>
        <w:adjustRightInd w:val="0"/>
        <w:spacing w:line="360" w:lineRule="auto"/>
        <w:jc w:val="both"/>
        <w:rPr>
          <w:rFonts w:ascii="Palatino Linotype" w:hAnsi="Palatino Linotype" w:cs="Arial"/>
        </w:rPr>
      </w:pPr>
    </w:p>
    <w:p w14:paraId="34AD1D15" w14:textId="77777777" w:rsidR="005A46F9" w:rsidRPr="00F04F4E" w:rsidRDefault="005A46F9" w:rsidP="00F04F4E">
      <w:pPr>
        <w:tabs>
          <w:tab w:val="left" w:pos="9214"/>
        </w:tabs>
        <w:ind w:left="709" w:right="757"/>
        <w:jc w:val="both"/>
        <w:rPr>
          <w:rFonts w:ascii="Palatino Linotype" w:hAnsi="Palatino Linotype"/>
          <w:i/>
          <w:sz w:val="22"/>
          <w:lang w:eastAsia="es-MX"/>
        </w:rPr>
      </w:pPr>
      <w:r w:rsidRPr="00F04F4E">
        <w:rPr>
          <w:rFonts w:ascii="Palatino Linotype" w:hAnsi="Palatino Linotype"/>
          <w:i/>
          <w:sz w:val="22"/>
          <w:lang w:eastAsia="es-MX"/>
        </w:rPr>
        <w:t xml:space="preserve">“… 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sidRPr="00F04F4E">
        <w:rPr>
          <w:rFonts w:ascii="Palatino Linotype" w:hAnsi="Palatino Linotype"/>
          <w:sz w:val="22"/>
          <w:lang w:eastAsia="es-MX"/>
        </w:rPr>
        <w:t>(Sic)</w:t>
      </w:r>
      <w:r w:rsidRPr="00F04F4E">
        <w:rPr>
          <w:rFonts w:ascii="Palatino Linotype" w:hAnsi="Palatino Linotype"/>
          <w:i/>
          <w:sz w:val="22"/>
          <w:lang w:eastAsia="es-MX"/>
        </w:rPr>
        <w:t xml:space="preserve"> </w:t>
      </w:r>
    </w:p>
    <w:p w14:paraId="704172A9" w14:textId="77777777" w:rsidR="005A46F9" w:rsidRPr="006B517F" w:rsidRDefault="005A46F9" w:rsidP="006B517F">
      <w:pPr>
        <w:tabs>
          <w:tab w:val="left" w:pos="9214"/>
        </w:tabs>
        <w:spacing w:line="360" w:lineRule="auto"/>
        <w:ind w:left="709" w:right="709"/>
        <w:jc w:val="both"/>
        <w:rPr>
          <w:rFonts w:ascii="Palatino Linotype" w:hAnsi="Palatino Linotype"/>
          <w:i/>
          <w:lang w:eastAsia="es-MX"/>
        </w:rPr>
      </w:pPr>
    </w:p>
    <w:p w14:paraId="19D8BAE7" w14:textId="77777777" w:rsidR="005A46F9" w:rsidRPr="006B517F" w:rsidRDefault="005A46F9" w:rsidP="006B517F">
      <w:pPr>
        <w:autoSpaceDE w:val="0"/>
        <w:autoSpaceDN w:val="0"/>
        <w:adjustRightInd w:val="0"/>
        <w:spacing w:line="360" w:lineRule="auto"/>
        <w:jc w:val="both"/>
        <w:rPr>
          <w:rFonts w:ascii="Palatino Linotype" w:hAnsi="Palatino Linotype"/>
        </w:rPr>
      </w:pPr>
      <w:r w:rsidRPr="006B517F">
        <w:rPr>
          <w:rFonts w:ascii="Palatino Linotype" w:hAnsi="Palatino Linotype" w:cs="Arial"/>
        </w:rPr>
        <w:t xml:space="preserve">Ahora bien, el derecho </w:t>
      </w:r>
      <w:r w:rsidRPr="006B517F">
        <w:rPr>
          <w:rFonts w:ascii="Palatino Linotype" w:hAnsi="Palatino Linotype"/>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2A86ECFC" w14:textId="77777777" w:rsidR="005A46F9" w:rsidRPr="006B517F" w:rsidRDefault="005A46F9" w:rsidP="006B517F">
      <w:pPr>
        <w:autoSpaceDE w:val="0"/>
        <w:autoSpaceDN w:val="0"/>
        <w:adjustRightInd w:val="0"/>
        <w:spacing w:line="360" w:lineRule="auto"/>
        <w:jc w:val="both"/>
        <w:rPr>
          <w:rFonts w:ascii="Palatino Linotype" w:hAnsi="Palatino Linotype"/>
        </w:rPr>
      </w:pPr>
    </w:p>
    <w:p w14:paraId="153E5AD0" w14:textId="77777777" w:rsidR="005A46F9" w:rsidRPr="00F04F4E" w:rsidRDefault="005A46F9" w:rsidP="00F04F4E">
      <w:pPr>
        <w:ind w:left="709" w:right="757"/>
        <w:jc w:val="both"/>
        <w:rPr>
          <w:rFonts w:ascii="Palatino Linotype" w:hAnsi="Palatino Linotype"/>
          <w:i/>
          <w:sz w:val="22"/>
        </w:rPr>
      </w:pPr>
      <w:r w:rsidRPr="00F04F4E">
        <w:rPr>
          <w:rFonts w:ascii="Palatino Linotype" w:hAnsi="Palatino Linotype"/>
          <w:sz w:val="22"/>
        </w:rPr>
        <w:t>“</w:t>
      </w:r>
      <w:r w:rsidRPr="00F04F4E">
        <w:rPr>
          <w:rFonts w:ascii="Palatino Linotype" w:hAnsi="Palatino Linotype"/>
          <w:b/>
          <w:i/>
          <w:sz w:val="22"/>
        </w:rPr>
        <w:t>Artículo 4.</w:t>
      </w:r>
      <w:r w:rsidRPr="00F04F4E">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42E9A2F" w14:textId="77777777" w:rsidR="005A46F9" w:rsidRPr="00F04F4E" w:rsidRDefault="005A46F9" w:rsidP="00F04F4E">
      <w:pPr>
        <w:ind w:left="709" w:right="757"/>
        <w:jc w:val="both"/>
        <w:rPr>
          <w:rFonts w:ascii="Palatino Linotype" w:hAnsi="Palatino Linotype"/>
          <w:i/>
          <w:sz w:val="22"/>
        </w:rPr>
      </w:pPr>
    </w:p>
    <w:p w14:paraId="5ADDAE87" w14:textId="77777777" w:rsidR="005A46F9" w:rsidRPr="00F04F4E" w:rsidRDefault="005A46F9" w:rsidP="00F04F4E">
      <w:pPr>
        <w:ind w:left="709" w:right="757"/>
        <w:jc w:val="both"/>
        <w:rPr>
          <w:rFonts w:ascii="Palatino Linotype" w:hAnsi="Palatino Linotype"/>
          <w:i/>
          <w:sz w:val="22"/>
        </w:rPr>
      </w:pPr>
      <w:r w:rsidRPr="00F04F4E">
        <w:rPr>
          <w:rFonts w:ascii="Palatino Linotype" w:hAnsi="Palatino Linotyp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F04F4E">
        <w:rPr>
          <w:rFonts w:ascii="Palatino Linotype" w:hAnsi="Palatino Linotype" w:cs="Arial"/>
          <w:i/>
          <w:color w:val="000000"/>
          <w:sz w:val="22"/>
        </w:rPr>
        <w:t>mexicano</w:t>
      </w:r>
      <w:r w:rsidRPr="00F04F4E">
        <w:rPr>
          <w:rFonts w:ascii="Palatino Linotype" w:hAnsi="Palatino Linotype"/>
          <w:i/>
          <w:sz w:val="22"/>
        </w:rPr>
        <w:t xml:space="preserve">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57D4664" w14:textId="77777777" w:rsidR="005A46F9" w:rsidRPr="00F04F4E" w:rsidRDefault="005A46F9" w:rsidP="00F04F4E">
      <w:pPr>
        <w:ind w:left="709" w:right="757"/>
        <w:jc w:val="both"/>
        <w:rPr>
          <w:rFonts w:ascii="Palatino Linotype" w:hAnsi="Palatino Linotype"/>
          <w:i/>
          <w:sz w:val="22"/>
        </w:rPr>
      </w:pPr>
    </w:p>
    <w:p w14:paraId="32021989" w14:textId="77777777" w:rsidR="005A46F9" w:rsidRPr="00F04F4E" w:rsidRDefault="005A46F9" w:rsidP="00F04F4E">
      <w:pPr>
        <w:ind w:left="709" w:right="757"/>
        <w:jc w:val="both"/>
        <w:rPr>
          <w:rFonts w:ascii="Palatino Linotype" w:hAnsi="Palatino Linotype"/>
          <w:i/>
          <w:sz w:val="22"/>
        </w:rPr>
      </w:pPr>
      <w:r w:rsidRPr="00F04F4E">
        <w:rPr>
          <w:rFonts w:ascii="Palatino Linotype" w:hAnsi="Palatino Linotype"/>
          <w:i/>
          <w:sz w:val="22"/>
        </w:rPr>
        <w:t>Los sujetos obligados deben poner en práctica, políticas y programas de acceso a la información</w:t>
      </w:r>
      <w:r w:rsidRPr="00F04F4E">
        <w:rPr>
          <w:rFonts w:ascii="Palatino Linotype" w:hAnsi="Palatino Linotype"/>
          <w:sz w:val="22"/>
        </w:rPr>
        <w:t xml:space="preserve"> </w:t>
      </w:r>
      <w:r w:rsidRPr="00F04F4E">
        <w:rPr>
          <w:rFonts w:ascii="Palatino Linotype" w:hAnsi="Palatino Linotype"/>
          <w:i/>
          <w:sz w:val="22"/>
        </w:rPr>
        <w:t>que se apeguen a criterios de publicidad, veracidad, oportunidad, precisión y suficiencia en beneficio de los solicitantes.”</w:t>
      </w:r>
    </w:p>
    <w:p w14:paraId="159A60E2" w14:textId="77777777" w:rsidR="005A46F9" w:rsidRPr="006B517F" w:rsidRDefault="005A46F9" w:rsidP="006B517F">
      <w:pPr>
        <w:spacing w:line="360" w:lineRule="auto"/>
        <w:ind w:left="709" w:right="709"/>
        <w:jc w:val="both"/>
        <w:rPr>
          <w:rFonts w:ascii="Palatino Linotype" w:hAnsi="Palatino Linotype"/>
          <w:i/>
        </w:rPr>
      </w:pPr>
    </w:p>
    <w:p w14:paraId="5E8375D9" w14:textId="77777777" w:rsidR="005A46F9" w:rsidRDefault="005A46F9" w:rsidP="006B517F">
      <w:pPr>
        <w:autoSpaceDE w:val="0"/>
        <w:autoSpaceDN w:val="0"/>
        <w:adjustRightInd w:val="0"/>
        <w:spacing w:line="360" w:lineRule="auto"/>
        <w:jc w:val="both"/>
        <w:rPr>
          <w:rFonts w:ascii="Palatino Linotype" w:hAnsi="Palatino Linotype" w:cs="Arial"/>
        </w:rPr>
      </w:pPr>
      <w:r w:rsidRPr="006B517F">
        <w:rPr>
          <w:rFonts w:ascii="Palatino Linotype" w:hAnsi="Palatino Linotype" w:cs="Arial"/>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65DDC4F9" w14:textId="77777777" w:rsidR="00F04F4E" w:rsidRPr="006B517F" w:rsidRDefault="00F04F4E" w:rsidP="006B517F">
      <w:pPr>
        <w:autoSpaceDE w:val="0"/>
        <w:autoSpaceDN w:val="0"/>
        <w:adjustRightInd w:val="0"/>
        <w:spacing w:line="360" w:lineRule="auto"/>
        <w:jc w:val="both"/>
        <w:rPr>
          <w:rFonts w:ascii="Palatino Linotype" w:hAnsi="Palatino Linotype" w:cs="Arial"/>
        </w:rPr>
      </w:pPr>
    </w:p>
    <w:p w14:paraId="44FC91D8" w14:textId="77777777" w:rsidR="005A46F9" w:rsidRPr="006B517F" w:rsidRDefault="005A46F9" w:rsidP="006B517F">
      <w:pPr>
        <w:autoSpaceDE w:val="0"/>
        <w:autoSpaceDN w:val="0"/>
        <w:adjustRightInd w:val="0"/>
        <w:spacing w:line="360" w:lineRule="auto"/>
        <w:jc w:val="both"/>
        <w:rPr>
          <w:rFonts w:ascii="Palatino Linotype" w:hAnsi="Palatino Linotype" w:cs="Arial"/>
        </w:rPr>
      </w:pPr>
      <w:r w:rsidRPr="006B517F">
        <w:rPr>
          <w:rFonts w:ascii="Palatino Linotype" w:hAnsi="Palatino Linotype" w:cs="Arial"/>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en los términos y condiciones que se establezcan en los tratados internacionales de los que el Estado Mexicano sea parte, en la Ley de Transparencia y Acceso a la Información Pública del Estado de México y Municipios y demás disposiciones de la materia, privilegiando el principio de máxima publicidad de la información. </w:t>
      </w:r>
    </w:p>
    <w:p w14:paraId="2873EF33" w14:textId="77777777" w:rsidR="005A46F9" w:rsidRPr="006B517F" w:rsidRDefault="005A46F9" w:rsidP="006B517F">
      <w:pPr>
        <w:autoSpaceDE w:val="0"/>
        <w:autoSpaceDN w:val="0"/>
        <w:adjustRightInd w:val="0"/>
        <w:spacing w:line="360" w:lineRule="auto"/>
        <w:jc w:val="both"/>
        <w:rPr>
          <w:rFonts w:ascii="Palatino Linotype" w:hAnsi="Palatino Linotype" w:cs="Arial"/>
        </w:rPr>
      </w:pPr>
    </w:p>
    <w:p w14:paraId="02AC484E" w14:textId="77777777" w:rsidR="005A46F9" w:rsidRPr="006B517F" w:rsidRDefault="005A46F9" w:rsidP="006B517F">
      <w:pPr>
        <w:autoSpaceDE w:val="0"/>
        <w:autoSpaceDN w:val="0"/>
        <w:adjustRightInd w:val="0"/>
        <w:spacing w:line="360" w:lineRule="auto"/>
        <w:jc w:val="both"/>
        <w:rPr>
          <w:rFonts w:ascii="Palatino Linotype" w:hAnsi="Palatino Linotype" w:cs="Arial"/>
        </w:rPr>
      </w:pPr>
      <w:r w:rsidRPr="006B517F">
        <w:rPr>
          <w:rFonts w:ascii="Palatino Linotype" w:hAnsi="Palatino Linotype" w:cs="Arial"/>
        </w:rPr>
        <w:t>En esa tesitura, los Sujetos Obligados deberán poner en práctica políticas y programas de acceso a la información que se apeguen a criterios de publicidad, veracidad, oportunidad, precisión y suficiencia en beneficio de los solicitantes.</w:t>
      </w:r>
    </w:p>
    <w:p w14:paraId="265E8478" w14:textId="77777777" w:rsidR="005A46F9" w:rsidRPr="006B517F" w:rsidRDefault="005A46F9" w:rsidP="006B517F">
      <w:pPr>
        <w:autoSpaceDE w:val="0"/>
        <w:autoSpaceDN w:val="0"/>
        <w:adjustRightInd w:val="0"/>
        <w:spacing w:line="360" w:lineRule="auto"/>
        <w:jc w:val="both"/>
        <w:rPr>
          <w:rFonts w:ascii="Palatino Linotype" w:hAnsi="Palatino Linotype" w:cs="Arial"/>
        </w:rPr>
      </w:pPr>
    </w:p>
    <w:p w14:paraId="130CC8EA" w14:textId="77777777" w:rsidR="005A46F9" w:rsidRPr="006B517F" w:rsidRDefault="005A46F9" w:rsidP="006B517F">
      <w:pPr>
        <w:autoSpaceDE w:val="0"/>
        <w:autoSpaceDN w:val="0"/>
        <w:adjustRightInd w:val="0"/>
        <w:spacing w:line="360" w:lineRule="auto"/>
        <w:jc w:val="both"/>
        <w:rPr>
          <w:rFonts w:ascii="Palatino Linotype" w:hAnsi="Palatino Linotype" w:cs="Arial"/>
        </w:rPr>
      </w:pPr>
      <w:r w:rsidRPr="006B517F">
        <w:rPr>
          <w:rFonts w:ascii="Palatino Linotype" w:hAnsi="Palatino Linotype" w:cs="Arial"/>
        </w:rPr>
        <w:t>Lo anterior, tiene sustento en los artículos 3 fracciones XI y XXII; 4; 11, y 12 de la Ley de Transparencia y Acceso a la Información Pública del Estado de México y Municipios que se citan a continuación:</w:t>
      </w:r>
    </w:p>
    <w:p w14:paraId="6C8470E7" w14:textId="77777777" w:rsidR="005A46F9" w:rsidRPr="006B517F" w:rsidRDefault="005A46F9" w:rsidP="006B517F">
      <w:pPr>
        <w:autoSpaceDE w:val="0"/>
        <w:autoSpaceDN w:val="0"/>
        <w:adjustRightInd w:val="0"/>
        <w:spacing w:line="360" w:lineRule="auto"/>
        <w:jc w:val="both"/>
        <w:rPr>
          <w:rFonts w:ascii="Palatino Linotype" w:hAnsi="Palatino Linotype" w:cs="Arial"/>
        </w:rPr>
      </w:pPr>
    </w:p>
    <w:p w14:paraId="2FEC3B17" w14:textId="77777777" w:rsidR="005A46F9" w:rsidRPr="00F04F4E" w:rsidRDefault="005A46F9" w:rsidP="00F04F4E">
      <w:pPr>
        <w:ind w:left="709" w:right="757"/>
        <w:jc w:val="both"/>
        <w:rPr>
          <w:rFonts w:ascii="Palatino Linotype" w:hAnsi="Palatino Linotype" w:cs="Arial"/>
          <w:bCs/>
          <w:i/>
          <w:sz w:val="22"/>
        </w:rPr>
      </w:pPr>
      <w:r w:rsidRPr="00F04F4E">
        <w:rPr>
          <w:rFonts w:ascii="Palatino Linotype" w:hAnsi="Palatino Linotype" w:cs="Arial"/>
          <w:b/>
          <w:bCs/>
          <w:i/>
          <w:sz w:val="22"/>
        </w:rPr>
        <w:t xml:space="preserve">“Artículo 3. </w:t>
      </w:r>
      <w:r w:rsidRPr="00F04F4E">
        <w:rPr>
          <w:rFonts w:ascii="Palatino Linotype" w:hAnsi="Palatino Linotype" w:cs="Arial"/>
          <w:b/>
          <w:bCs/>
          <w:i/>
          <w:sz w:val="22"/>
          <w:u w:val="single"/>
        </w:rPr>
        <w:t xml:space="preserve">Para los efectos </w:t>
      </w:r>
      <w:r w:rsidRPr="00F04F4E">
        <w:rPr>
          <w:rFonts w:ascii="Palatino Linotype" w:hAnsi="Palatino Linotype" w:cs="Arial"/>
          <w:b/>
          <w:i/>
          <w:sz w:val="22"/>
          <w:u w:val="single"/>
        </w:rPr>
        <w:t>de</w:t>
      </w:r>
      <w:r w:rsidRPr="00F04F4E">
        <w:rPr>
          <w:rFonts w:ascii="Palatino Linotype" w:hAnsi="Palatino Linotype" w:cs="Arial"/>
          <w:b/>
          <w:bCs/>
          <w:i/>
          <w:sz w:val="22"/>
          <w:u w:val="single"/>
        </w:rPr>
        <w:t xml:space="preserve"> la presente Ley se entenderá por</w:t>
      </w:r>
      <w:r w:rsidRPr="00F04F4E">
        <w:rPr>
          <w:rFonts w:ascii="Palatino Linotype" w:hAnsi="Palatino Linotype" w:cs="Arial"/>
          <w:b/>
          <w:bCs/>
          <w:i/>
          <w:sz w:val="22"/>
        </w:rPr>
        <w:t xml:space="preserve">: </w:t>
      </w:r>
      <w:r w:rsidRPr="00F04F4E">
        <w:rPr>
          <w:rFonts w:ascii="Palatino Linotype" w:hAnsi="Palatino Linotype" w:cs="Arial"/>
          <w:bCs/>
          <w:i/>
          <w:sz w:val="22"/>
        </w:rPr>
        <w:t>…</w:t>
      </w:r>
    </w:p>
    <w:p w14:paraId="14A3ADDC" w14:textId="77777777" w:rsidR="005A46F9" w:rsidRPr="00F04F4E" w:rsidRDefault="005A46F9" w:rsidP="00F04F4E">
      <w:pPr>
        <w:ind w:left="709" w:right="757"/>
        <w:jc w:val="both"/>
        <w:rPr>
          <w:rFonts w:ascii="Palatino Linotype" w:hAnsi="Palatino Linotype" w:cs="Arial"/>
          <w:bCs/>
          <w:i/>
          <w:sz w:val="22"/>
        </w:rPr>
      </w:pPr>
      <w:r w:rsidRPr="00F04F4E">
        <w:rPr>
          <w:rFonts w:ascii="Palatino Linotype" w:hAnsi="Palatino Linotype" w:cs="Arial"/>
          <w:bCs/>
          <w:i/>
          <w:sz w:val="22"/>
        </w:rPr>
        <w:t>…</w:t>
      </w:r>
    </w:p>
    <w:p w14:paraId="665195DB" w14:textId="77777777" w:rsidR="005A46F9" w:rsidRPr="00F04F4E" w:rsidRDefault="005A46F9" w:rsidP="00F04F4E">
      <w:pPr>
        <w:ind w:left="709" w:right="757"/>
        <w:jc w:val="both"/>
        <w:rPr>
          <w:rFonts w:ascii="Palatino Linotype" w:hAnsi="Palatino Linotype" w:cs="Arial"/>
          <w:bCs/>
          <w:i/>
          <w:sz w:val="22"/>
        </w:rPr>
      </w:pPr>
      <w:r w:rsidRPr="00F04F4E">
        <w:rPr>
          <w:rFonts w:ascii="Palatino Linotype" w:hAnsi="Palatino Linotype" w:cs="Arial"/>
          <w:b/>
          <w:bCs/>
          <w:i/>
          <w:sz w:val="22"/>
        </w:rPr>
        <w:t>XI. Documento:</w:t>
      </w:r>
      <w:r w:rsidRPr="00F04F4E">
        <w:rPr>
          <w:rFonts w:ascii="Palatino Linotype" w:hAnsi="Palatino Linotype" w:cs="Arial"/>
          <w:bCs/>
          <w:i/>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w:t>
      </w:r>
      <w:r w:rsidRPr="00F04F4E">
        <w:rPr>
          <w:rFonts w:ascii="Palatino Linotype" w:hAnsi="Palatino Linotype" w:cs="Arial"/>
          <w:i/>
          <w:color w:val="000000"/>
          <w:sz w:val="22"/>
        </w:rPr>
        <w:t>servidores</w:t>
      </w:r>
      <w:r w:rsidRPr="00F04F4E">
        <w:rPr>
          <w:rFonts w:ascii="Palatino Linotype" w:hAnsi="Palatino Linotype" w:cs="Arial"/>
          <w:bCs/>
          <w:i/>
          <w:sz w:val="22"/>
        </w:rPr>
        <w:t xml:space="preserve"> públicos e integrantes, sin importar su fuente o fecha de elaboración. Los documentos podrán estar en cualquier medio, sea escrito, impreso, sonoro, visual, electrónico, informático u holográfico; </w:t>
      </w:r>
    </w:p>
    <w:p w14:paraId="62EED097" w14:textId="77777777" w:rsidR="005A46F9" w:rsidRPr="00F04F4E" w:rsidRDefault="005A46F9" w:rsidP="00F04F4E">
      <w:pPr>
        <w:ind w:left="709" w:right="757"/>
        <w:jc w:val="both"/>
        <w:rPr>
          <w:rFonts w:ascii="Palatino Linotype" w:hAnsi="Palatino Linotype" w:cs="Arial"/>
          <w:bCs/>
          <w:i/>
          <w:sz w:val="22"/>
        </w:rPr>
      </w:pPr>
    </w:p>
    <w:p w14:paraId="7EC52F7B" w14:textId="77777777" w:rsidR="005A46F9" w:rsidRPr="00F04F4E" w:rsidRDefault="005A46F9" w:rsidP="00F04F4E">
      <w:pPr>
        <w:ind w:left="709" w:right="757"/>
        <w:jc w:val="both"/>
        <w:rPr>
          <w:rFonts w:ascii="Palatino Linotype" w:hAnsi="Palatino Linotype" w:cs="Arial"/>
          <w:bCs/>
          <w:i/>
          <w:sz w:val="22"/>
        </w:rPr>
      </w:pPr>
      <w:r w:rsidRPr="00F04F4E">
        <w:rPr>
          <w:rFonts w:ascii="Palatino Linotype" w:hAnsi="Palatino Linotype" w:cs="Arial"/>
          <w:b/>
          <w:bCs/>
          <w:i/>
          <w:sz w:val="22"/>
        </w:rPr>
        <w:t>XII. Documento electrónico</w:t>
      </w:r>
      <w:r w:rsidRPr="00F04F4E">
        <w:rPr>
          <w:rFonts w:ascii="Palatino Linotype" w:hAnsi="Palatino Linotype" w:cs="Arial"/>
          <w:bCs/>
          <w:i/>
          <w:sz w:val="22"/>
        </w:rPr>
        <w:t>: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6DBB80D6" w14:textId="77777777" w:rsidR="005A46F9" w:rsidRPr="00F04F4E" w:rsidRDefault="005A46F9" w:rsidP="00F04F4E">
      <w:pPr>
        <w:ind w:left="709" w:right="757"/>
        <w:jc w:val="both"/>
        <w:rPr>
          <w:rFonts w:ascii="Palatino Linotype" w:hAnsi="Palatino Linotype" w:cs="Arial"/>
          <w:bCs/>
          <w:i/>
          <w:sz w:val="22"/>
        </w:rPr>
      </w:pPr>
    </w:p>
    <w:p w14:paraId="4D4A7506" w14:textId="77777777" w:rsidR="005A46F9" w:rsidRPr="00F04F4E" w:rsidRDefault="005A46F9" w:rsidP="00F04F4E">
      <w:pPr>
        <w:ind w:left="709" w:right="757"/>
        <w:jc w:val="both"/>
        <w:rPr>
          <w:rFonts w:ascii="Palatino Linotype" w:hAnsi="Palatino Linotype" w:cs="Arial"/>
          <w:bCs/>
          <w:i/>
          <w:sz w:val="22"/>
        </w:rPr>
      </w:pPr>
      <w:r w:rsidRPr="00F04F4E">
        <w:rPr>
          <w:rFonts w:ascii="Palatino Linotype" w:hAnsi="Palatino Linotype" w:cs="Arial"/>
          <w:b/>
          <w:bCs/>
          <w:i/>
          <w:sz w:val="22"/>
        </w:rPr>
        <w:t>Artículo 4.</w:t>
      </w:r>
      <w:r w:rsidRPr="00F04F4E">
        <w:rPr>
          <w:rFonts w:ascii="Palatino Linotype" w:hAnsi="Palatino Linotype" w:cs="Arial"/>
          <w:bCs/>
          <w:i/>
          <w:sz w:val="22"/>
        </w:rPr>
        <w:t xml:space="preserve"> </w:t>
      </w:r>
      <w:r w:rsidRPr="00F04F4E">
        <w:rPr>
          <w:rFonts w:ascii="Palatino Linotype" w:hAnsi="Palatino Linotype" w:cs="Arial"/>
          <w:b/>
          <w:bCs/>
          <w:i/>
          <w:sz w:val="22"/>
          <w:u w:val="single"/>
        </w:rPr>
        <w:t>El derecho humano de acceso a la información pública es la prerrogativa de las personas para buscar, difundir, investigar, recabar, recibir y solicitar información pública</w:t>
      </w:r>
      <w:r w:rsidRPr="00F04F4E">
        <w:rPr>
          <w:rFonts w:ascii="Palatino Linotype" w:hAnsi="Palatino Linotype" w:cs="Arial"/>
          <w:bCs/>
          <w:i/>
          <w:sz w:val="22"/>
        </w:rPr>
        <w:t xml:space="preserve">, sin necesidad de acreditar personalidad ni interés jurídico. </w:t>
      </w:r>
    </w:p>
    <w:p w14:paraId="3C783495" w14:textId="77777777" w:rsidR="005A46F9" w:rsidRPr="00F04F4E" w:rsidRDefault="005A46F9" w:rsidP="00F04F4E">
      <w:pPr>
        <w:ind w:left="709" w:right="757"/>
        <w:jc w:val="both"/>
        <w:rPr>
          <w:rFonts w:ascii="Palatino Linotype" w:hAnsi="Palatino Linotype" w:cs="Arial"/>
          <w:bCs/>
          <w:i/>
          <w:sz w:val="22"/>
        </w:rPr>
      </w:pPr>
    </w:p>
    <w:p w14:paraId="6A8603F4" w14:textId="77777777" w:rsidR="005A46F9" w:rsidRPr="00F04F4E" w:rsidRDefault="005A46F9" w:rsidP="00F04F4E">
      <w:pPr>
        <w:ind w:left="709" w:right="757"/>
        <w:jc w:val="both"/>
        <w:rPr>
          <w:rFonts w:ascii="Palatino Linotype" w:hAnsi="Palatino Linotype" w:cs="Arial"/>
          <w:bCs/>
          <w:i/>
          <w:sz w:val="22"/>
        </w:rPr>
      </w:pPr>
      <w:r w:rsidRPr="00F04F4E">
        <w:rPr>
          <w:rFonts w:ascii="Palatino Linotype" w:hAnsi="Palatino Linotype" w:cs="Arial"/>
          <w:bCs/>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w:t>
      </w:r>
      <w:r w:rsidRPr="00F04F4E">
        <w:rPr>
          <w:rFonts w:ascii="Palatino Linotype" w:hAnsi="Palatino Linotype" w:cs="Arial"/>
          <w:i/>
          <w:color w:val="000000"/>
          <w:sz w:val="22"/>
        </w:rPr>
        <w:t>información</w:t>
      </w:r>
      <w:r w:rsidRPr="00F04F4E">
        <w:rPr>
          <w:rFonts w:ascii="Palatino Linotype" w:hAnsi="Palatino Linotype" w:cs="Arial"/>
          <w:bCs/>
          <w:i/>
          <w:sz w:val="22"/>
        </w:rPr>
        <w:t xml:space="preserve">. Solo podrá ser clasificada excepcionalmente como reservada temporalmente por razones de interés público, en los términos de las causas legítimas y estrictamente necesarias previstas por esta Ley. </w:t>
      </w:r>
    </w:p>
    <w:p w14:paraId="3252A0F3" w14:textId="77777777" w:rsidR="005A46F9" w:rsidRPr="00F04F4E" w:rsidRDefault="005A46F9" w:rsidP="00F04F4E">
      <w:pPr>
        <w:ind w:left="709" w:right="757"/>
        <w:jc w:val="both"/>
        <w:rPr>
          <w:rFonts w:ascii="Palatino Linotype" w:hAnsi="Palatino Linotype" w:cs="Arial"/>
          <w:bCs/>
          <w:i/>
          <w:sz w:val="22"/>
        </w:rPr>
      </w:pPr>
    </w:p>
    <w:p w14:paraId="26F5670A" w14:textId="77777777" w:rsidR="005A46F9" w:rsidRPr="00F04F4E" w:rsidRDefault="005A46F9" w:rsidP="00F04F4E">
      <w:pPr>
        <w:ind w:left="709" w:right="757"/>
        <w:jc w:val="both"/>
        <w:rPr>
          <w:rFonts w:ascii="Palatino Linotype" w:hAnsi="Palatino Linotype" w:cs="Arial"/>
          <w:bCs/>
          <w:i/>
          <w:sz w:val="22"/>
        </w:rPr>
      </w:pPr>
      <w:r w:rsidRPr="00F04F4E">
        <w:rPr>
          <w:rFonts w:ascii="Palatino Linotype" w:hAnsi="Palatino Linotype" w:cs="Arial"/>
          <w:bCs/>
          <w:i/>
          <w:sz w:val="22"/>
        </w:rPr>
        <w:t xml:space="preserve">Los sujetos obligados deben poner en práctica, políticas y programas de acceso a la información que se apeguen a criterios de publicidad, veracidad, oportunidad, precisión y suficiencia en beneficio de los solicitantes. </w:t>
      </w:r>
    </w:p>
    <w:p w14:paraId="2F7EBF87" w14:textId="77777777" w:rsidR="005A46F9" w:rsidRPr="00F04F4E" w:rsidRDefault="005A46F9" w:rsidP="00F04F4E">
      <w:pPr>
        <w:ind w:left="709" w:right="757"/>
        <w:jc w:val="both"/>
        <w:rPr>
          <w:rFonts w:ascii="Palatino Linotype" w:hAnsi="Palatino Linotype" w:cs="Arial"/>
          <w:bCs/>
          <w:i/>
          <w:sz w:val="22"/>
        </w:rPr>
      </w:pPr>
    </w:p>
    <w:p w14:paraId="2C86702A" w14:textId="77777777" w:rsidR="005A46F9" w:rsidRPr="00F04F4E" w:rsidRDefault="005A46F9" w:rsidP="00F04F4E">
      <w:pPr>
        <w:ind w:left="709" w:right="757"/>
        <w:jc w:val="both"/>
        <w:rPr>
          <w:rFonts w:ascii="Palatino Linotype" w:hAnsi="Palatino Linotype" w:cs="Arial"/>
          <w:bCs/>
          <w:i/>
          <w:sz w:val="22"/>
        </w:rPr>
      </w:pPr>
      <w:r w:rsidRPr="00F04F4E">
        <w:rPr>
          <w:rFonts w:ascii="Palatino Linotype" w:hAnsi="Palatino Linotype" w:cs="Arial"/>
          <w:b/>
          <w:bCs/>
          <w:i/>
          <w:sz w:val="22"/>
        </w:rPr>
        <w:t>Artículo 11.-</w:t>
      </w:r>
      <w:r w:rsidRPr="00F04F4E">
        <w:rPr>
          <w:rFonts w:ascii="Palatino Linotype" w:hAnsi="Palatino Linotype" w:cs="Arial"/>
          <w:bCs/>
          <w:i/>
          <w:sz w:val="22"/>
        </w:rPr>
        <w:t xml:space="preserve"> </w:t>
      </w:r>
      <w:r w:rsidRPr="00F04F4E">
        <w:rPr>
          <w:rFonts w:ascii="Palatino Linotype" w:hAnsi="Palatino Linotype" w:cs="Arial"/>
          <w:b/>
          <w:bCs/>
          <w:i/>
          <w:sz w:val="22"/>
          <w:u w:val="single"/>
        </w:rPr>
        <w:t>Los Sujetos Obligados sólo proporcionarán la información que generen en el ejercicio de sus atribuciones</w:t>
      </w:r>
      <w:r w:rsidRPr="00F04F4E">
        <w:rPr>
          <w:rFonts w:ascii="Palatino Linotype" w:hAnsi="Palatino Linotype" w:cs="Arial"/>
          <w:bCs/>
          <w:i/>
          <w:sz w:val="22"/>
        </w:rPr>
        <w:t>.</w:t>
      </w:r>
    </w:p>
    <w:p w14:paraId="3C89D818" w14:textId="77777777" w:rsidR="005A46F9" w:rsidRPr="00F04F4E" w:rsidRDefault="005A46F9" w:rsidP="00F04F4E">
      <w:pPr>
        <w:ind w:left="709" w:right="757"/>
        <w:jc w:val="both"/>
        <w:rPr>
          <w:rFonts w:ascii="Palatino Linotype" w:hAnsi="Palatino Linotype" w:cs="Arial"/>
          <w:bCs/>
          <w:i/>
          <w:sz w:val="22"/>
        </w:rPr>
      </w:pPr>
    </w:p>
    <w:p w14:paraId="0F33EC96" w14:textId="77777777" w:rsidR="005A46F9" w:rsidRPr="00F04F4E" w:rsidRDefault="005A46F9" w:rsidP="00F04F4E">
      <w:pPr>
        <w:ind w:left="709" w:right="757"/>
        <w:jc w:val="both"/>
        <w:rPr>
          <w:rFonts w:ascii="Palatino Linotype" w:hAnsi="Palatino Linotype" w:cs="Arial"/>
          <w:bCs/>
          <w:i/>
          <w:sz w:val="22"/>
        </w:rPr>
      </w:pPr>
      <w:r w:rsidRPr="00F04F4E">
        <w:rPr>
          <w:rFonts w:ascii="Palatino Linotype" w:hAnsi="Palatino Linotype" w:cs="Arial"/>
          <w:b/>
          <w:bCs/>
          <w:i/>
          <w:sz w:val="22"/>
        </w:rPr>
        <w:t>Artículo 12.</w:t>
      </w:r>
      <w:r w:rsidRPr="00F04F4E">
        <w:rPr>
          <w:rFonts w:ascii="Palatino Linotype" w:hAnsi="Palatino Linotype" w:cs="Arial"/>
          <w:bCs/>
          <w:i/>
          <w:sz w:val="22"/>
        </w:rPr>
        <w:t xml:space="preserve"> Quienes generen, recopilen, administren, manejen, procesen, archiven o conserven información pública</w:t>
      </w:r>
      <w:r w:rsidRPr="00F04F4E">
        <w:rPr>
          <w:rFonts w:ascii="Palatino Linotype" w:hAnsi="Palatino Linotype" w:cs="Arial"/>
          <w:b/>
          <w:bCs/>
          <w:i/>
          <w:sz w:val="22"/>
        </w:rPr>
        <w:t xml:space="preserve"> </w:t>
      </w:r>
      <w:r w:rsidRPr="00F04F4E">
        <w:rPr>
          <w:rFonts w:ascii="Palatino Linotype" w:hAnsi="Palatino Linotype" w:cs="Arial"/>
          <w:bCs/>
          <w:i/>
          <w:sz w:val="22"/>
        </w:rPr>
        <w:t xml:space="preserve">serán responsables de la misma en los términos de las disposiciones jurídicas </w:t>
      </w:r>
      <w:r w:rsidRPr="00F04F4E">
        <w:rPr>
          <w:rFonts w:ascii="Palatino Linotype" w:hAnsi="Palatino Linotype" w:cs="Arial"/>
          <w:i/>
          <w:color w:val="000000"/>
          <w:sz w:val="22"/>
        </w:rPr>
        <w:t>aplicables</w:t>
      </w:r>
      <w:r w:rsidRPr="00F04F4E">
        <w:rPr>
          <w:rFonts w:ascii="Palatino Linotype" w:hAnsi="Palatino Linotype" w:cs="Arial"/>
          <w:bCs/>
          <w:i/>
          <w:sz w:val="22"/>
        </w:rPr>
        <w:t xml:space="preserve">. </w:t>
      </w:r>
    </w:p>
    <w:p w14:paraId="5607DE21" w14:textId="77777777" w:rsidR="005A46F9" w:rsidRPr="00F04F4E" w:rsidRDefault="005A46F9" w:rsidP="00F04F4E">
      <w:pPr>
        <w:ind w:left="709" w:right="757"/>
        <w:jc w:val="both"/>
        <w:rPr>
          <w:rFonts w:ascii="Palatino Linotype" w:hAnsi="Palatino Linotype" w:cs="Arial"/>
          <w:bCs/>
          <w:i/>
          <w:sz w:val="22"/>
        </w:rPr>
      </w:pPr>
    </w:p>
    <w:p w14:paraId="06E17534" w14:textId="77777777" w:rsidR="005A46F9" w:rsidRPr="00F04F4E" w:rsidRDefault="005A46F9" w:rsidP="00F04F4E">
      <w:pPr>
        <w:ind w:left="709" w:right="757"/>
        <w:jc w:val="both"/>
        <w:rPr>
          <w:rFonts w:ascii="Palatino Linotype" w:hAnsi="Palatino Linotype" w:cs="Arial"/>
          <w:bCs/>
          <w:i/>
          <w:sz w:val="22"/>
        </w:rPr>
      </w:pPr>
      <w:r w:rsidRPr="00F04F4E">
        <w:rPr>
          <w:rFonts w:ascii="Palatino Linotype" w:hAnsi="Palatino Linotype" w:cs="Arial"/>
          <w:b/>
          <w:bCs/>
          <w:i/>
          <w:sz w:val="22"/>
          <w:u w:val="single"/>
        </w:rPr>
        <w:t>Los sujetos obligados sólo proporcionarán la información pública que se les requiera y que obre en sus archivos</w:t>
      </w:r>
      <w:r w:rsidRPr="00F04F4E">
        <w:rPr>
          <w:rFonts w:ascii="Palatino Linotype" w:hAnsi="Palatino Linotype" w:cs="Arial"/>
          <w:bCs/>
          <w:i/>
          <w:sz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259FDDF" w14:textId="77777777" w:rsidR="005A46F9" w:rsidRPr="00F04F4E" w:rsidRDefault="005A46F9" w:rsidP="00F04F4E">
      <w:pPr>
        <w:ind w:left="709" w:right="757"/>
        <w:jc w:val="both"/>
        <w:rPr>
          <w:rFonts w:ascii="Palatino Linotype" w:hAnsi="Palatino Linotype" w:cs="Arial"/>
          <w:bCs/>
          <w:i/>
          <w:sz w:val="22"/>
        </w:rPr>
      </w:pPr>
    </w:p>
    <w:p w14:paraId="216D0D69" w14:textId="77777777" w:rsidR="005A46F9" w:rsidRPr="00F04F4E" w:rsidRDefault="005A46F9" w:rsidP="00F04F4E">
      <w:pPr>
        <w:ind w:left="709" w:right="757"/>
        <w:jc w:val="both"/>
        <w:rPr>
          <w:rFonts w:ascii="Palatino Linotype" w:hAnsi="Palatino Linotype" w:cs="Arial"/>
          <w:color w:val="000000"/>
          <w:sz w:val="22"/>
        </w:rPr>
      </w:pPr>
      <w:r w:rsidRPr="00F04F4E">
        <w:rPr>
          <w:rFonts w:ascii="Palatino Linotype" w:hAnsi="Palatino Linotype" w:cs="Arial"/>
          <w:color w:val="000000"/>
          <w:sz w:val="22"/>
        </w:rPr>
        <w:t>(Énfasis añadido)</w:t>
      </w:r>
    </w:p>
    <w:p w14:paraId="6FA82DDD" w14:textId="77777777" w:rsidR="005A46F9" w:rsidRPr="006B517F" w:rsidRDefault="005A46F9" w:rsidP="006B517F">
      <w:pPr>
        <w:spacing w:line="360" w:lineRule="auto"/>
        <w:ind w:left="709" w:right="709"/>
        <w:jc w:val="both"/>
        <w:rPr>
          <w:rFonts w:ascii="Palatino Linotype" w:hAnsi="Palatino Linotype" w:cs="Arial"/>
          <w:color w:val="000000"/>
        </w:rPr>
      </w:pPr>
    </w:p>
    <w:p w14:paraId="21F46462" w14:textId="77777777" w:rsidR="005A46F9" w:rsidRPr="006B517F" w:rsidRDefault="005A46F9" w:rsidP="006B517F">
      <w:pPr>
        <w:autoSpaceDE w:val="0"/>
        <w:autoSpaceDN w:val="0"/>
        <w:adjustRightInd w:val="0"/>
        <w:spacing w:line="360" w:lineRule="auto"/>
        <w:jc w:val="both"/>
        <w:rPr>
          <w:rFonts w:ascii="Palatino Linotype" w:hAnsi="Palatino Linotype" w:cs="Arial"/>
        </w:rPr>
      </w:pPr>
      <w:r w:rsidRPr="006B517F">
        <w:rPr>
          <w:rFonts w:ascii="Palatino Linotype" w:hAnsi="Palatino Linotype" w:cs="Arial"/>
        </w:rPr>
        <w:t>En ese contexto, de una interpretación sistemática de los artículos anteriores se puede advertir que el ejercicio del derecho de acceso a la información pública se centra en la potestad de los particulares para conocer el contenido de los documentos que obren en los archivos de los Sujetos Obligados, ya sea porque los generen en el ejercicio de sus atribuciones, los administren o simplemente los posean.</w:t>
      </w:r>
    </w:p>
    <w:p w14:paraId="37BBC910" w14:textId="77777777" w:rsidR="005A46F9" w:rsidRPr="006B517F" w:rsidRDefault="005A46F9" w:rsidP="006B517F">
      <w:pPr>
        <w:autoSpaceDE w:val="0"/>
        <w:autoSpaceDN w:val="0"/>
        <w:adjustRightInd w:val="0"/>
        <w:spacing w:line="360" w:lineRule="auto"/>
        <w:jc w:val="both"/>
        <w:rPr>
          <w:rFonts w:ascii="Palatino Linotype" w:hAnsi="Palatino Linotype" w:cs="Arial"/>
        </w:rPr>
      </w:pPr>
    </w:p>
    <w:p w14:paraId="0C505557" w14:textId="3708E3CB" w:rsidR="005A46F9" w:rsidRPr="006B517F" w:rsidRDefault="005A46F9" w:rsidP="00E72383">
      <w:pPr>
        <w:autoSpaceDE w:val="0"/>
        <w:autoSpaceDN w:val="0"/>
        <w:adjustRightInd w:val="0"/>
        <w:spacing w:before="100" w:beforeAutospacing="1" w:after="100" w:afterAutospacing="1" w:line="360" w:lineRule="auto"/>
        <w:jc w:val="both"/>
        <w:rPr>
          <w:rFonts w:ascii="Palatino Linotype" w:hAnsi="Palatino Linotype" w:cs="Arial"/>
        </w:rPr>
      </w:pPr>
      <w:r w:rsidRPr="006B517F">
        <w:rPr>
          <w:rFonts w:ascii="Palatino Linotype" w:hAnsi="Palatino Linotype" w:cs="Arial"/>
        </w:rPr>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A87BA96" w14:textId="2E4F6600" w:rsidR="005A46F9" w:rsidRPr="006B517F" w:rsidRDefault="005A46F9" w:rsidP="00E72383">
      <w:pPr>
        <w:autoSpaceDE w:val="0"/>
        <w:autoSpaceDN w:val="0"/>
        <w:adjustRightInd w:val="0"/>
        <w:spacing w:before="100" w:beforeAutospacing="1" w:after="100" w:afterAutospacing="1" w:line="360" w:lineRule="auto"/>
        <w:jc w:val="both"/>
        <w:rPr>
          <w:rFonts w:ascii="Palatino Linotype" w:hAnsi="Palatino Linotype" w:cs="Arial"/>
        </w:rPr>
      </w:pPr>
      <w:r w:rsidRPr="006B517F">
        <w:rPr>
          <w:rFonts w:ascii="Palatino Linotype" w:hAnsi="Palatino Linotype" w:cs="Arial"/>
        </w:rPr>
        <w:t>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340DDC11" w14:textId="404632AB" w:rsidR="005A46F9" w:rsidRDefault="005A46F9" w:rsidP="00E72383">
      <w:pPr>
        <w:spacing w:before="100" w:beforeAutospacing="1" w:after="100" w:afterAutospacing="1" w:line="360" w:lineRule="auto"/>
        <w:jc w:val="both"/>
        <w:rPr>
          <w:rFonts w:ascii="Palatino Linotype" w:hAnsi="Palatino Linotype" w:cs="Arial"/>
        </w:rPr>
      </w:pPr>
      <w:r w:rsidRPr="006B517F">
        <w:rPr>
          <w:rFonts w:ascii="Palatino Linotype" w:hAnsi="Palatino Linotype" w:cs="Arial"/>
        </w:rPr>
        <w:t>En síntesis, el derecho de acceso a la información pública se satisface en aquellos casos en que se entregue el soporte documental en que conste la información pública, toda vez que los Sujetos Obligados</w:t>
      </w:r>
      <w:r w:rsidRPr="006B517F">
        <w:rPr>
          <w:rFonts w:ascii="Palatino Linotype" w:hAnsi="Palatino Linotype" w:cs="Arial"/>
          <w:b/>
        </w:rPr>
        <w:t xml:space="preserve"> </w:t>
      </w:r>
      <w:r w:rsidRPr="006B517F">
        <w:rPr>
          <w:rFonts w:ascii="Palatino Linotype" w:hAnsi="Palatino Linotype" w:cs="Arial"/>
        </w:rPr>
        <w:t xml:space="preserve">no tienen el deber de generar, poseer o administrar la información con el grado de detalle que se requiera en la solicitud de información pública; esto es, que no tienen el deber de generar un documento </w:t>
      </w:r>
      <w:r w:rsidRPr="006B517F">
        <w:rPr>
          <w:rFonts w:ascii="Palatino Linotype" w:hAnsi="Palatino Linotype" w:cs="Arial"/>
          <w:b/>
          <w:i/>
        </w:rPr>
        <w:t>ad hoc</w:t>
      </w:r>
      <w:r w:rsidRPr="006B517F">
        <w:rPr>
          <w:rFonts w:ascii="Palatino Linotype" w:hAnsi="Palatino Linotype" w:cs="Arial"/>
        </w:rPr>
        <w:t>, a fin de satisfacer los requerimientos de los particulares.</w:t>
      </w:r>
    </w:p>
    <w:p w14:paraId="4C4BC128" w14:textId="77777777" w:rsidR="00D111DB" w:rsidRDefault="00D111DB" w:rsidP="006B517F">
      <w:pPr>
        <w:spacing w:line="360" w:lineRule="auto"/>
        <w:jc w:val="both"/>
        <w:rPr>
          <w:rFonts w:ascii="Palatino Linotype" w:hAnsi="Palatino Linotype" w:cs="Arial"/>
        </w:rPr>
      </w:pPr>
    </w:p>
    <w:p w14:paraId="113E05B5" w14:textId="73234A47" w:rsidR="00D111DB" w:rsidRDefault="00D111DB" w:rsidP="006B517F">
      <w:pPr>
        <w:spacing w:line="360" w:lineRule="auto"/>
        <w:jc w:val="both"/>
        <w:rPr>
          <w:rFonts w:ascii="Palatino Linotype" w:hAnsi="Palatino Linotype" w:cs="Arial"/>
        </w:rPr>
      </w:pPr>
      <w:r>
        <w:rPr>
          <w:rFonts w:ascii="Palatino Linotype" w:hAnsi="Palatino Linotype" w:cs="Arial"/>
        </w:rPr>
        <w:t xml:space="preserve">Refuerzo de ello, lo es el criterio 03-17 emitido por el Pleno del </w:t>
      </w:r>
      <w:r w:rsidRPr="00D111DB">
        <w:rPr>
          <w:rFonts w:ascii="Palatino Linotype" w:hAnsi="Palatino Linotype" w:cs="Arial"/>
        </w:rPr>
        <w:t xml:space="preserve">Instituto Nacional de Transparencia, Acceso a la Información y Protección de Datos Personales </w:t>
      </w:r>
      <w:r>
        <w:rPr>
          <w:rFonts w:ascii="Palatino Linotype" w:hAnsi="Palatino Linotype" w:cs="Arial"/>
        </w:rPr>
        <w:t>(</w:t>
      </w:r>
      <w:r w:rsidRPr="00D111DB">
        <w:rPr>
          <w:rFonts w:ascii="Palatino Linotype" w:hAnsi="Palatino Linotype" w:cs="Arial"/>
        </w:rPr>
        <w:t>INAI</w:t>
      </w:r>
      <w:r>
        <w:rPr>
          <w:rFonts w:ascii="Palatino Linotype" w:hAnsi="Palatino Linotype" w:cs="Arial"/>
        </w:rPr>
        <w:t>) que a la letra dicta:</w:t>
      </w:r>
    </w:p>
    <w:p w14:paraId="57BE0926" w14:textId="77777777" w:rsidR="00D111DB" w:rsidRDefault="00D111DB" w:rsidP="006B517F">
      <w:pPr>
        <w:spacing w:line="360" w:lineRule="auto"/>
        <w:jc w:val="both"/>
        <w:rPr>
          <w:rFonts w:ascii="Palatino Linotype" w:hAnsi="Palatino Linotype" w:cs="Arial"/>
        </w:rPr>
      </w:pPr>
    </w:p>
    <w:p w14:paraId="3FAF5630" w14:textId="77777777" w:rsidR="00D111DB" w:rsidRPr="00D111DB" w:rsidRDefault="00D111DB" w:rsidP="00D111DB">
      <w:pPr>
        <w:ind w:left="709" w:right="757"/>
        <w:jc w:val="both"/>
        <w:rPr>
          <w:rFonts w:ascii="Palatino Linotype" w:hAnsi="Palatino Linotype" w:cs="Arial"/>
          <w:i/>
          <w:sz w:val="22"/>
        </w:rPr>
      </w:pPr>
      <w:r w:rsidRPr="00D111DB">
        <w:rPr>
          <w:rFonts w:ascii="Palatino Linotype" w:hAnsi="Palatino Linotype" w:cs="Arial"/>
          <w:b/>
          <w:i/>
          <w:sz w:val="22"/>
        </w:rPr>
        <w:t>No existe obligación de elaborar documentos ad hoc para atender las solicitudes de acceso a la información</w:t>
      </w:r>
      <w:r w:rsidRPr="00D111DB">
        <w:rPr>
          <w:rFonts w:ascii="Palatino Linotype" w:hAnsi="Palatino Linotype" w:cs="Arial"/>
          <w:i/>
          <w:sz w:val="22"/>
        </w:rPr>
        <w:t>.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1879A78" w14:textId="77777777" w:rsidR="00D111DB" w:rsidRPr="00D111DB" w:rsidRDefault="00D111DB" w:rsidP="00D111DB">
      <w:pPr>
        <w:ind w:left="709" w:right="757"/>
        <w:jc w:val="both"/>
        <w:rPr>
          <w:rFonts w:ascii="Palatino Linotype" w:hAnsi="Palatino Linotype" w:cs="Arial"/>
          <w:i/>
          <w:sz w:val="22"/>
        </w:rPr>
      </w:pPr>
      <w:r w:rsidRPr="00D111DB">
        <w:rPr>
          <w:rFonts w:ascii="Palatino Linotype" w:hAnsi="Palatino Linotype" w:cs="Arial"/>
          <w:i/>
          <w:sz w:val="22"/>
        </w:rPr>
        <w:t>Resoluciones:</w:t>
      </w:r>
    </w:p>
    <w:p w14:paraId="7A3DE0D5" w14:textId="77777777" w:rsidR="00D111DB" w:rsidRPr="00D111DB" w:rsidRDefault="00D111DB" w:rsidP="00D111DB">
      <w:pPr>
        <w:ind w:left="993" w:right="757" w:hanging="284"/>
        <w:jc w:val="both"/>
        <w:rPr>
          <w:rFonts w:ascii="Palatino Linotype" w:hAnsi="Palatino Linotype" w:cs="Arial"/>
          <w:i/>
          <w:sz w:val="22"/>
        </w:rPr>
      </w:pPr>
      <w:r w:rsidRPr="00D111DB">
        <w:rPr>
          <w:rFonts w:ascii="Palatino Linotype" w:hAnsi="Palatino Linotype" w:cs="Arial"/>
          <w:i/>
          <w:sz w:val="22"/>
        </w:rPr>
        <w:t>•</w:t>
      </w:r>
      <w:r w:rsidRPr="00D111DB">
        <w:rPr>
          <w:rFonts w:ascii="Palatino Linotype" w:hAnsi="Palatino Linotype" w:cs="Arial"/>
          <w:i/>
          <w:sz w:val="22"/>
        </w:rPr>
        <w:tab/>
        <w:t>RRA 0050/16. Instituto Nacional para la Evaluación de la Educación. 13 julio de 2016. Por unanimidad. Comisionado Ponente: Francisco Javier Acuña Llamas.</w:t>
      </w:r>
    </w:p>
    <w:p w14:paraId="32E7334E" w14:textId="77777777" w:rsidR="00D111DB" w:rsidRPr="00D111DB" w:rsidRDefault="00D111DB" w:rsidP="00D111DB">
      <w:pPr>
        <w:ind w:left="993" w:right="757" w:hanging="284"/>
        <w:jc w:val="both"/>
        <w:rPr>
          <w:rFonts w:ascii="Palatino Linotype" w:hAnsi="Palatino Linotype" w:cs="Arial"/>
          <w:i/>
          <w:sz w:val="22"/>
        </w:rPr>
      </w:pPr>
      <w:r w:rsidRPr="00D111DB">
        <w:rPr>
          <w:rFonts w:ascii="Palatino Linotype" w:hAnsi="Palatino Linotype" w:cs="Arial"/>
          <w:i/>
          <w:sz w:val="22"/>
        </w:rPr>
        <w:t>•</w:t>
      </w:r>
      <w:r w:rsidRPr="00D111DB">
        <w:rPr>
          <w:rFonts w:ascii="Palatino Linotype" w:hAnsi="Palatino Linotype" w:cs="Arial"/>
          <w:i/>
          <w:sz w:val="22"/>
        </w:rPr>
        <w:tab/>
        <w:t>RRA 0310/16. Instituto Nacional de Transparencia, Acceso a la Información y Protección de Datos Personales. 10 de agosto de 2016. Por unanimidad. Comisionada Ponente. Areli Cano Guadiana.</w:t>
      </w:r>
    </w:p>
    <w:p w14:paraId="3071D477" w14:textId="6AA80EC6" w:rsidR="00D111DB" w:rsidRPr="00D111DB" w:rsidRDefault="00D111DB" w:rsidP="00D111DB">
      <w:pPr>
        <w:ind w:left="993" w:right="757" w:hanging="284"/>
        <w:jc w:val="both"/>
        <w:rPr>
          <w:rFonts w:ascii="Palatino Linotype" w:hAnsi="Palatino Linotype" w:cs="Arial"/>
          <w:i/>
          <w:sz w:val="22"/>
        </w:rPr>
      </w:pPr>
      <w:r w:rsidRPr="00D111DB">
        <w:rPr>
          <w:rFonts w:ascii="Palatino Linotype" w:hAnsi="Palatino Linotype" w:cs="Arial"/>
          <w:i/>
          <w:sz w:val="22"/>
        </w:rPr>
        <w:t>•</w:t>
      </w:r>
      <w:r w:rsidRPr="00D111DB">
        <w:rPr>
          <w:rFonts w:ascii="Palatino Linotype" w:hAnsi="Palatino Linotype" w:cs="Arial"/>
          <w:i/>
          <w:sz w:val="22"/>
        </w:rPr>
        <w:tab/>
        <w:t>RRA 1889/16. Secretaría de Hacienda y Crédito Público. 05 de octubre de 2016. Por unanimidad. Comisionada Ponente. Ximena Puente de la Mora.</w:t>
      </w:r>
    </w:p>
    <w:p w14:paraId="12C059C6" w14:textId="77777777" w:rsidR="005A46F9" w:rsidRPr="006B517F" w:rsidRDefault="005A46F9" w:rsidP="006B517F">
      <w:pPr>
        <w:spacing w:line="360" w:lineRule="auto"/>
        <w:jc w:val="both"/>
        <w:rPr>
          <w:rFonts w:ascii="Palatino Linotype" w:hAnsi="Palatino Linotype" w:cs="Arial"/>
        </w:rPr>
      </w:pPr>
    </w:p>
    <w:p w14:paraId="7840B7BD" w14:textId="6CAC0A64" w:rsidR="005A46F9" w:rsidRPr="006B517F" w:rsidRDefault="005A46F9" w:rsidP="00E72383">
      <w:pPr>
        <w:spacing w:before="100" w:beforeAutospacing="1" w:after="100" w:afterAutospacing="1" w:line="360" w:lineRule="auto"/>
        <w:ind w:right="49"/>
        <w:jc w:val="both"/>
        <w:rPr>
          <w:rFonts w:ascii="Palatino Linotype" w:hAnsi="Palatino Linotype" w:cs="Arial"/>
        </w:rPr>
      </w:pPr>
      <w:r w:rsidRPr="006B517F">
        <w:rPr>
          <w:rFonts w:ascii="Palatino Linotype" w:hAnsi="Palatino Linotype" w:cs="Arial"/>
        </w:rPr>
        <w:t>Así las cosas, debe señalarse que tanto en la solicitud de información presentad</w:t>
      </w:r>
      <w:r w:rsidR="00555976" w:rsidRPr="006B517F">
        <w:rPr>
          <w:rFonts w:ascii="Palatino Linotype" w:hAnsi="Palatino Linotype" w:cs="Arial"/>
        </w:rPr>
        <w:t xml:space="preserve">a a través del </w:t>
      </w:r>
      <w:r w:rsidRPr="006B517F">
        <w:rPr>
          <w:rFonts w:ascii="Palatino Linotype" w:hAnsi="Palatino Linotype" w:cs="Arial"/>
          <w:b/>
        </w:rPr>
        <w:t>SAIMEX</w:t>
      </w:r>
      <w:r w:rsidRPr="006B517F">
        <w:rPr>
          <w:rFonts w:ascii="Palatino Linotype" w:hAnsi="Palatino Linotype" w:cs="Arial"/>
        </w:rPr>
        <w:t xml:space="preserve">, </w:t>
      </w:r>
      <w:r w:rsidR="0087790E">
        <w:rPr>
          <w:rFonts w:ascii="Palatino Linotype" w:hAnsi="Palatino Linotype" w:cs="Arial"/>
        </w:rPr>
        <w:t>el particular requirió</w:t>
      </w:r>
      <w:r w:rsidRPr="006B517F">
        <w:rPr>
          <w:rFonts w:ascii="Palatino Linotype" w:hAnsi="Palatino Linotype" w:cs="Arial"/>
        </w:rPr>
        <w:t xml:space="preserve"> </w:t>
      </w:r>
      <w:r w:rsidR="00E70D84" w:rsidRPr="006B517F">
        <w:rPr>
          <w:rFonts w:ascii="Palatino Linotype" w:hAnsi="Palatino Linotype" w:cs="Arial"/>
        </w:rPr>
        <w:t>un pronunciamiento</w:t>
      </w:r>
      <w:r w:rsidRPr="006B517F">
        <w:rPr>
          <w:rFonts w:ascii="Palatino Linotype" w:hAnsi="Palatino Linotype" w:cs="Arial"/>
        </w:rPr>
        <w:t xml:space="preserve"> por parte del </w:t>
      </w:r>
      <w:r w:rsidRPr="006B517F">
        <w:rPr>
          <w:rFonts w:ascii="Palatino Linotype" w:hAnsi="Palatino Linotype" w:cs="Arial"/>
          <w:b/>
        </w:rPr>
        <w:t>SUJETO OBLIGADO</w:t>
      </w:r>
      <w:r w:rsidRPr="006B517F">
        <w:rPr>
          <w:rFonts w:ascii="Palatino Linotype" w:hAnsi="Palatino Linotype" w:cs="Arial"/>
        </w:rPr>
        <w:t xml:space="preserve">, </w:t>
      </w:r>
      <w:r w:rsidR="0087790E">
        <w:rPr>
          <w:rFonts w:ascii="Palatino Linotype" w:hAnsi="Palatino Linotype" w:cs="Arial"/>
        </w:rPr>
        <w:t xml:space="preserve">es decir, una contestación puntual y </w:t>
      </w:r>
      <w:proofErr w:type="spellStart"/>
      <w:r w:rsidR="0087790E">
        <w:rPr>
          <w:rFonts w:ascii="Palatino Linotype" w:hAnsi="Palatino Linotype" w:cs="Arial"/>
        </w:rPr>
        <w:t>especifica</w:t>
      </w:r>
      <w:proofErr w:type="spellEnd"/>
      <w:r w:rsidR="0087790E">
        <w:rPr>
          <w:rFonts w:ascii="Palatino Linotype" w:hAnsi="Palatino Linotype" w:cs="Arial"/>
        </w:rPr>
        <w:t xml:space="preserve">, situación que </w:t>
      </w:r>
      <w:r w:rsidR="000D67BE">
        <w:rPr>
          <w:rFonts w:ascii="Palatino Linotype" w:hAnsi="Palatino Linotype" w:cs="Arial"/>
        </w:rPr>
        <w:t xml:space="preserve">se trata del </w:t>
      </w:r>
      <w:r w:rsidR="0087790E">
        <w:rPr>
          <w:rFonts w:ascii="Palatino Linotype" w:hAnsi="Palatino Linotype" w:cs="Arial"/>
        </w:rPr>
        <w:t xml:space="preserve"> derecho de petición.</w:t>
      </w:r>
    </w:p>
    <w:p w14:paraId="5808BD86" w14:textId="77777777" w:rsidR="004F25B9" w:rsidRPr="006B517F" w:rsidRDefault="004F25B9" w:rsidP="00E72383">
      <w:pPr>
        <w:spacing w:before="100" w:beforeAutospacing="1" w:after="100" w:afterAutospacing="1" w:line="360" w:lineRule="auto"/>
        <w:ind w:right="49"/>
        <w:jc w:val="both"/>
        <w:rPr>
          <w:rFonts w:ascii="Palatino Linotype" w:hAnsi="Palatino Linotype" w:cs="Arial"/>
        </w:rPr>
      </w:pPr>
    </w:p>
    <w:p w14:paraId="03AD2CE1" w14:textId="5FF4FCCB" w:rsidR="00555976" w:rsidRPr="006B517F" w:rsidRDefault="005A46F9" w:rsidP="00E72383">
      <w:pPr>
        <w:spacing w:before="100" w:beforeAutospacing="1" w:after="100" w:afterAutospacing="1" w:line="360" w:lineRule="auto"/>
        <w:ind w:right="49"/>
        <w:jc w:val="both"/>
        <w:rPr>
          <w:rFonts w:ascii="Palatino Linotype" w:hAnsi="Palatino Linotype" w:cs="Arial"/>
        </w:rPr>
      </w:pPr>
      <w:r w:rsidRPr="006B517F">
        <w:rPr>
          <w:rFonts w:ascii="Palatino Linotype" w:hAnsi="Palatino Linotype" w:cs="Arial"/>
        </w:rPr>
        <w:t xml:space="preserve">Por lo que, la entrega de una </w:t>
      </w:r>
      <w:r w:rsidR="004F25B9" w:rsidRPr="006B517F">
        <w:rPr>
          <w:rFonts w:ascii="Palatino Linotype" w:hAnsi="Palatino Linotype" w:cs="Arial"/>
        </w:rPr>
        <w:t>respuesta</w:t>
      </w:r>
      <w:r w:rsidRPr="006B517F">
        <w:rPr>
          <w:rFonts w:ascii="Palatino Linotype" w:hAnsi="Palatino Linotype" w:cs="Arial"/>
        </w:rPr>
        <w:t xml:space="preserve"> o un razonamiento por parte del </w:t>
      </w:r>
      <w:r w:rsidRPr="006B517F">
        <w:rPr>
          <w:rFonts w:ascii="Palatino Linotype" w:hAnsi="Palatino Linotype" w:cs="Arial"/>
          <w:b/>
        </w:rPr>
        <w:t xml:space="preserve">SUJETO OBLIGADO </w:t>
      </w:r>
      <w:r w:rsidR="000D67BE">
        <w:rPr>
          <w:rFonts w:ascii="Palatino Linotype" w:hAnsi="Palatino Linotype" w:cs="Arial"/>
        </w:rPr>
        <w:t>a un cuestionamiento</w:t>
      </w:r>
      <w:r w:rsidRPr="006B517F">
        <w:rPr>
          <w:rFonts w:ascii="Palatino Linotype" w:hAnsi="Palatino Linotype" w:cs="Arial"/>
        </w:rPr>
        <w:t xml:space="preserve"> no es facultad que la Ley establezca como atribución o como derecho de acceso a la información pública, pues ello implicaría </w:t>
      </w:r>
      <w:r w:rsidR="0087790E">
        <w:rPr>
          <w:rFonts w:ascii="Palatino Linotype" w:hAnsi="Palatino Linotype" w:cs="Arial"/>
        </w:rPr>
        <w:t>que vía transparencia se de atención al ejercicio de un derecho diverso, es decir, al derecho de petición</w:t>
      </w:r>
      <w:r w:rsidRPr="006B517F">
        <w:rPr>
          <w:rFonts w:ascii="Palatino Linotype" w:hAnsi="Palatino Linotype" w:cs="Arial"/>
        </w:rPr>
        <w:t xml:space="preserve">. </w:t>
      </w:r>
    </w:p>
    <w:p w14:paraId="5C23CA4D" w14:textId="1A296B72" w:rsidR="00555976" w:rsidRPr="006B517F" w:rsidRDefault="00555976" w:rsidP="00E72383">
      <w:pPr>
        <w:spacing w:before="100" w:beforeAutospacing="1" w:after="100" w:afterAutospacing="1" w:line="360" w:lineRule="auto"/>
        <w:jc w:val="both"/>
        <w:rPr>
          <w:rFonts w:ascii="Palatino Linotype" w:hAnsi="Palatino Linotype" w:cs="Arial"/>
        </w:rPr>
      </w:pPr>
      <w:r w:rsidRPr="006B517F">
        <w:rPr>
          <w:rFonts w:ascii="Palatino Linotype" w:hAnsi="Palatino Linotype" w:cs="Arial"/>
        </w:rPr>
        <w:t xml:space="preserve">Asimismo, </w:t>
      </w:r>
      <w:r w:rsidRPr="006B517F">
        <w:rPr>
          <w:rFonts w:ascii="Palatino Linotype" w:hAnsi="Palatino Linotype"/>
        </w:rPr>
        <w:t xml:space="preserve">se reitera que se coincide con lo señalado en la resolución en comento, en cuanto a que no resulta necesario examinar el </w:t>
      </w:r>
      <w:r w:rsidRPr="006B517F">
        <w:rPr>
          <w:rFonts w:ascii="Palatino Linotype" w:hAnsi="Palatino Linotype" w:cs="Arial"/>
        </w:rPr>
        <w:t>fondo del presente asunto, al actualizarse los supuestos normativos que así lo refieren; sin emb</w:t>
      </w:r>
      <w:r w:rsidR="0087790E">
        <w:rPr>
          <w:rFonts w:ascii="Palatino Linotype" w:hAnsi="Palatino Linotype" w:cs="Arial"/>
        </w:rPr>
        <w:t>argo, no se comparte el fundamento citado</w:t>
      </w:r>
      <w:r w:rsidRPr="006B517F">
        <w:rPr>
          <w:rFonts w:ascii="Palatino Linotype" w:hAnsi="Palatino Linotype" w:cs="Arial"/>
        </w:rPr>
        <w:t xml:space="preserve"> en cuanto a </w:t>
      </w:r>
      <w:r w:rsidR="0087790E">
        <w:rPr>
          <w:rFonts w:ascii="Palatino Linotype" w:hAnsi="Palatino Linotype" w:cs="Arial"/>
        </w:rPr>
        <w:t>la normativa que se actualiza</w:t>
      </w:r>
      <w:r w:rsidRPr="006B517F">
        <w:rPr>
          <w:rFonts w:ascii="Palatino Linotype" w:hAnsi="Palatino Linotype" w:cs="Arial"/>
        </w:rPr>
        <w:t xml:space="preserve">, aunado </w:t>
      </w:r>
      <w:r w:rsidR="00D111DB">
        <w:rPr>
          <w:rFonts w:ascii="Palatino Linotype" w:hAnsi="Palatino Linotype" w:cs="Arial"/>
        </w:rPr>
        <w:t>al</w:t>
      </w:r>
      <w:r w:rsidRPr="006B517F">
        <w:rPr>
          <w:rFonts w:ascii="Palatino Linotype" w:hAnsi="Palatino Linotype" w:cs="Arial"/>
        </w:rPr>
        <w:t xml:space="preserve"> sentido de la resolución.</w:t>
      </w:r>
    </w:p>
    <w:p w14:paraId="2B6A22E2" w14:textId="7258AA81" w:rsidR="00555976" w:rsidRPr="006B517F" w:rsidRDefault="00555976" w:rsidP="009D1DB1">
      <w:pPr>
        <w:spacing w:before="100" w:beforeAutospacing="1" w:after="100" w:afterAutospacing="1" w:line="360" w:lineRule="auto"/>
        <w:jc w:val="both"/>
        <w:rPr>
          <w:rFonts w:ascii="Palatino Linotype" w:hAnsi="Palatino Linotype"/>
        </w:rPr>
      </w:pPr>
      <w:r w:rsidRPr="006B517F">
        <w:rPr>
          <w:rFonts w:ascii="Palatino Linotype" w:hAnsi="Palatino Linotype"/>
        </w:rPr>
        <w:t xml:space="preserve">Atento a lo anterior, a criterio de la suscrita, en el proyecto debió </w:t>
      </w:r>
      <w:r w:rsidR="0051355E">
        <w:rPr>
          <w:rFonts w:ascii="Palatino Linotype" w:hAnsi="Palatino Linotype"/>
        </w:rPr>
        <w:t>establecer como</w:t>
      </w:r>
      <w:r w:rsidRPr="006B517F">
        <w:rPr>
          <w:rFonts w:ascii="Palatino Linotype" w:hAnsi="Palatino Linotype"/>
        </w:rPr>
        <w:t xml:space="preserve"> causal de improcedencia</w:t>
      </w:r>
      <w:r w:rsidR="0051355E">
        <w:rPr>
          <w:rFonts w:ascii="Palatino Linotype" w:hAnsi="Palatino Linotype"/>
        </w:rPr>
        <w:t>, la</w:t>
      </w:r>
      <w:r w:rsidR="000D67BE">
        <w:rPr>
          <w:rFonts w:ascii="Palatino Linotype" w:hAnsi="Palatino Linotype"/>
        </w:rPr>
        <w:t xml:space="preserve"> prevista en la fracción </w:t>
      </w:r>
      <w:r w:rsidRPr="006B517F">
        <w:rPr>
          <w:rFonts w:ascii="Palatino Linotype" w:hAnsi="Palatino Linotype"/>
        </w:rPr>
        <w:t>VI del artículo 191 de la Ley de Transparencia y Acceso a la Información Pública del Estado de México y Municipios, al no actualizarse alguno de los supuestos previstos en el diverso 179 de la citada Ley, mismo que a continuación se transcribe:</w:t>
      </w:r>
    </w:p>
    <w:p w14:paraId="5EA5495A" w14:textId="77777777" w:rsidR="00555976" w:rsidRPr="00F04F4E" w:rsidRDefault="00555976" w:rsidP="00F04F4E">
      <w:pPr>
        <w:ind w:left="709" w:right="757"/>
        <w:jc w:val="both"/>
        <w:rPr>
          <w:rFonts w:ascii="Palatino Linotype" w:hAnsi="Palatino Linotype"/>
          <w:i/>
          <w:sz w:val="22"/>
        </w:rPr>
      </w:pPr>
      <w:r w:rsidRPr="00F04F4E">
        <w:rPr>
          <w:rFonts w:ascii="Palatino Linotype" w:hAnsi="Palatino Linotype"/>
          <w:i/>
          <w:sz w:val="22"/>
        </w:rPr>
        <w:t>“</w:t>
      </w:r>
      <w:r w:rsidRPr="00F04F4E">
        <w:rPr>
          <w:rFonts w:ascii="Palatino Linotype" w:hAnsi="Palatino Linotype"/>
          <w:b/>
          <w:i/>
          <w:sz w:val="22"/>
        </w:rPr>
        <w:t>Artículo 179</w:t>
      </w:r>
      <w:r w:rsidRPr="00F04F4E">
        <w:rPr>
          <w:rFonts w:ascii="Palatino Linotype" w:hAnsi="Palatino Linotype"/>
          <w:i/>
          <w:sz w:val="22"/>
        </w:rPr>
        <w:t>. El recurso de revisión es un medio de protección que la Ley otorga a los particulares, para hacer valer su derecho de acceso a la información pública, y procederá en contra de las siguientes causas:</w:t>
      </w:r>
    </w:p>
    <w:p w14:paraId="1638BF77" w14:textId="77777777" w:rsidR="00555976" w:rsidRPr="00F04F4E" w:rsidRDefault="00555976" w:rsidP="00F04F4E">
      <w:pPr>
        <w:ind w:left="709" w:right="757"/>
        <w:jc w:val="both"/>
        <w:rPr>
          <w:rFonts w:ascii="Palatino Linotype" w:hAnsi="Palatino Linotype"/>
          <w:i/>
          <w:sz w:val="22"/>
        </w:rPr>
      </w:pPr>
    </w:p>
    <w:p w14:paraId="05FBEC66" w14:textId="77777777" w:rsidR="00555976" w:rsidRPr="00F04F4E" w:rsidRDefault="00555976" w:rsidP="00F04F4E">
      <w:pPr>
        <w:ind w:left="709" w:right="757"/>
        <w:jc w:val="both"/>
        <w:rPr>
          <w:rFonts w:ascii="Palatino Linotype" w:hAnsi="Palatino Linotype"/>
          <w:i/>
          <w:sz w:val="22"/>
        </w:rPr>
      </w:pPr>
      <w:r w:rsidRPr="00F04F4E">
        <w:rPr>
          <w:rFonts w:ascii="Palatino Linotype" w:hAnsi="Palatino Linotype"/>
          <w:i/>
          <w:sz w:val="22"/>
        </w:rPr>
        <w:t>I. La negativa a la información solicitada;</w:t>
      </w:r>
    </w:p>
    <w:p w14:paraId="2CA8AB58" w14:textId="77777777" w:rsidR="00555976" w:rsidRPr="00F04F4E" w:rsidRDefault="00555976" w:rsidP="00F04F4E">
      <w:pPr>
        <w:ind w:left="709" w:right="757"/>
        <w:jc w:val="both"/>
        <w:rPr>
          <w:rFonts w:ascii="Palatino Linotype" w:hAnsi="Palatino Linotype"/>
          <w:i/>
          <w:sz w:val="22"/>
        </w:rPr>
      </w:pPr>
      <w:r w:rsidRPr="00F04F4E">
        <w:rPr>
          <w:rFonts w:ascii="Palatino Linotype" w:hAnsi="Palatino Linotype"/>
          <w:i/>
          <w:sz w:val="22"/>
        </w:rPr>
        <w:t>II. La clasificación de la información;</w:t>
      </w:r>
    </w:p>
    <w:p w14:paraId="5DC221D7" w14:textId="77777777" w:rsidR="00555976" w:rsidRPr="00F04F4E" w:rsidRDefault="00555976" w:rsidP="00F04F4E">
      <w:pPr>
        <w:ind w:left="709" w:right="757"/>
        <w:jc w:val="both"/>
        <w:rPr>
          <w:rFonts w:ascii="Palatino Linotype" w:hAnsi="Palatino Linotype"/>
          <w:i/>
          <w:sz w:val="22"/>
        </w:rPr>
      </w:pPr>
      <w:r w:rsidRPr="00F04F4E">
        <w:rPr>
          <w:rFonts w:ascii="Palatino Linotype" w:hAnsi="Palatino Linotype"/>
          <w:i/>
          <w:sz w:val="22"/>
        </w:rPr>
        <w:t>III. La declaración de inexistencia de la información;</w:t>
      </w:r>
    </w:p>
    <w:p w14:paraId="7B990AE5" w14:textId="77777777" w:rsidR="00555976" w:rsidRPr="00F04F4E" w:rsidRDefault="00555976" w:rsidP="00F04F4E">
      <w:pPr>
        <w:ind w:left="709" w:right="757"/>
        <w:jc w:val="both"/>
        <w:rPr>
          <w:rFonts w:ascii="Palatino Linotype" w:hAnsi="Palatino Linotype"/>
          <w:i/>
          <w:sz w:val="22"/>
        </w:rPr>
      </w:pPr>
      <w:r w:rsidRPr="00F04F4E">
        <w:rPr>
          <w:rFonts w:ascii="Palatino Linotype" w:hAnsi="Palatino Linotype"/>
          <w:i/>
          <w:sz w:val="22"/>
        </w:rPr>
        <w:t>IV. La declaración de incompetencia por el sujeto obligado;</w:t>
      </w:r>
    </w:p>
    <w:p w14:paraId="3943F292" w14:textId="77777777" w:rsidR="00555976" w:rsidRPr="00F04F4E" w:rsidRDefault="00555976" w:rsidP="00F04F4E">
      <w:pPr>
        <w:ind w:left="709" w:right="757"/>
        <w:jc w:val="both"/>
        <w:rPr>
          <w:rFonts w:ascii="Palatino Linotype" w:hAnsi="Palatino Linotype"/>
          <w:i/>
          <w:sz w:val="22"/>
        </w:rPr>
      </w:pPr>
      <w:r w:rsidRPr="00F04F4E">
        <w:rPr>
          <w:rFonts w:ascii="Palatino Linotype" w:hAnsi="Palatino Linotype"/>
          <w:i/>
          <w:sz w:val="22"/>
        </w:rPr>
        <w:t>V. La entrega de información incompleta;</w:t>
      </w:r>
    </w:p>
    <w:p w14:paraId="7EBD9CC8" w14:textId="77777777" w:rsidR="00555976" w:rsidRPr="00F04F4E" w:rsidRDefault="00555976" w:rsidP="00F04F4E">
      <w:pPr>
        <w:ind w:left="709" w:right="757"/>
        <w:jc w:val="both"/>
        <w:rPr>
          <w:rFonts w:ascii="Palatino Linotype" w:hAnsi="Palatino Linotype"/>
          <w:i/>
          <w:sz w:val="22"/>
        </w:rPr>
      </w:pPr>
      <w:r w:rsidRPr="00F04F4E">
        <w:rPr>
          <w:rFonts w:ascii="Palatino Linotype" w:hAnsi="Palatino Linotype"/>
          <w:i/>
          <w:sz w:val="22"/>
        </w:rPr>
        <w:t>VI. La entrega de información que no corresponda con lo solicitado;</w:t>
      </w:r>
    </w:p>
    <w:p w14:paraId="4B34AB61" w14:textId="77777777" w:rsidR="00555976" w:rsidRPr="00F04F4E" w:rsidRDefault="00555976" w:rsidP="00F04F4E">
      <w:pPr>
        <w:ind w:left="709" w:right="757"/>
        <w:jc w:val="both"/>
        <w:rPr>
          <w:rFonts w:ascii="Palatino Linotype" w:hAnsi="Palatino Linotype"/>
          <w:i/>
          <w:sz w:val="22"/>
        </w:rPr>
      </w:pPr>
      <w:r w:rsidRPr="00F04F4E">
        <w:rPr>
          <w:rFonts w:ascii="Palatino Linotype" w:hAnsi="Palatino Linotype"/>
          <w:i/>
          <w:sz w:val="22"/>
        </w:rPr>
        <w:t>VII. La falta de respuesta a una solicitud de acceso a la información;</w:t>
      </w:r>
    </w:p>
    <w:p w14:paraId="3E9F727E" w14:textId="77777777" w:rsidR="00555976" w:rsidRPr="00F04F4E" w:rsidRDefault="00555976" w:rsidP="00F04F4E">
      <w:pPr>
        <w:ind w:left="709" w:right="757"/>
        <w:jc w:val="both"/>
        <w:rPr>
          <w:rFonts w:ascii="Palatino Linotype" w:hAnsi="Palatino Linotype"/>
          <w:i/>
          <w:sz w:val="22"/>
        </w:rPr>
      </w:pPr>
      <w:r w:rsidRPr="00F04F4E">
        <w:rPr>
          <w:rFonts w:ascii="Palatino Linotype" w:hAnsi="Palatino Linotype"/>
          <w:i/>
          <w:sz w:val="22"/>
        </w:rPr>
        <w:t>VIII. La notificación, entrega o puesta a disposición de información en una modalidad o formato distinto al solicitado;</w:t>
      </w:r>
    </w:p>
    <w:p w14:paraId="05F825D7" w14:textId="77777777" w:rsidR="00555976" w:rsidRPr="00F04F4E" w:rsidRDefault="00555976" w:rsidP="00F04F4E">
      <w:pPr>
        <w:ind w:left="709" w:right="757"/>
        <w:jc w:val="both"/>
        <w:rPr>
          <w:rFonts w:ascii="Palatino Linotype" w:hAnsi="Palatino Linotype"/>
          <w:i/>
          <w:sz w:val="22"/>
        </w:rPr>
      </w:pPr>
      <w:r w:rsidRPr="00F04F4E">
        <w:rPr>
          <w:rFonts w:ascii="Palatino Linotype" w:hAnsi="Palatino Linotype"/>
          <w:i/>
          <w:sz w:val="22"/>
        </w:rPr>
        <w:t>IX. La entrega o puesta a disposición de información en un formato incomprensible y/o no accesible para el solicitante;</w:t>
      </w:r>
    </w:p>
    <w:p w14:paraId="1BD06952" w14:textId="77777777" w:rsidR="00555976" w:rsidRPr="00F04F4E" w:rsidRDefault="00555976" w:rsidP="00F04F4E">
      <w:pPr>
        <w:ind w:left="709" w:right="757"/>
        <w:jc w:val="both"/>
        <w:rPr>
          <w:rFonts w:ascii="Palatino Linotype" w:hAnsi="Palatino Linotype"/>
          <w:i/>
          <w:sz w:val="22"/>
        </w:rPr>
      </w:pPr>
      <w:r w:rsidRPr="00F04F4E">
        <w:rPr>
          <w:rFonts w:ascii="Palatino Linotype" w:hAnsi="Palatino Linotype"/>
          <w:i/>
          <w:sz w:val="22"/>
        </w:rPr>
        <w:t>X. Los costos o tiempos de entrega de la información;</w:t>
      </w:r>
    </w:p>
    <w:p w14:paraId="25653BD1" w14:textId="77777777" w:rsidR="00555976" w:rsidRPr="00F04F4E" w:rsidRDefault="00555976" w:rsidP="00F04F4E">
      <w:pPr>
        <w:ind w:left="709" w:right="757"/>
        <w:jc w:val="both"/>
        <w:rPr>
          <w:rFonts w:ascii="Palatino Linotype" w:hAnsi="Palatino Linotype"/>
          <w:i/>
          <w:sz w:val="22"/>
        </w:rPr>
      </w:pPr>
      <w:r w:rsidRPr="00F04F4E">
        <w:rPr>
          <w:rFonts w:ascii="Palatino Linotype" w:hAnsi="Palatino Linotype"/>
          <w:i/>
          <w:sz w:val="22"/>
        </w:rPr>
        <w:t>XI. La falta de trámite a una solicitud;</w:t>
      </w:r>
    </w:p>
    <w:p w14:paraId="37B49047" w14:textId="77777777" w:rsidR="00555976" w:rsidRPr="00F04F4E" w:rsidRDefault="00555976" w:rsidP="00F04F4E">
      <w:pPr>
        <w:ind w:left="709" w:right="757"/>
        <w:jc w:val="both"/>
        <w:rPr>
          <w:rFonts w:ascii="Palatino Linotype" w:hAnsi="Palatino Linotype"/>
          <w:i/>
          <w:sz w:val="22"/>
        </w:rPr>
      </w:pPr>
      <w:r w:rsidRPr="00F04F4E">
        <w:rPr>
          <w:rFonts w:ascii="Palatino Linotype" w:hAnsi="Palatino Linotype"/>
          <w:i/>
          <w:sz w:val="22"/>
        </w:rPr>
        <w:t>XII. La negativa a permitir la consulta directa de la información;</w:t>
      </w:r>
    </w:p>
    <w:p w14:paraId="250FB4FC" w14:textId="77777777" w:rsidR="00555976" w:rsidRPr="00F04F4E" w:rsidRDefault="00555976" w:rsidP="00F04F4E">
      <w:pPr>
        <w:ind w:left="709" w:right="757"/>
        <w:jc w:val="both"/>
        <w:rPr>
          <w:rFonts w:ascii="Palatino Linotype" w:hAnsi="Palatino Linotype"/>
          <w:i/>
          <w:sz w:val="22"/>
        </w:rPr>
      </w:pPr>
      <w:r w:rsidRPr="00F04F4E">
        <w:rPr>
          <w:rFonts w:ascii="Palatino Linotype" w:hAnsi="Palatino Linotype"/>
          <w:i/>
          <w:sz w:val="22"/>
        </w:rPr>
        <w:t>XIII. La falta, deficiencia o insuficiencia de la fundamentación y/o motivación en la respuesta; y</w:t>
      </w:r>
    </w:p>
    <w:p w14:paraId="669EDC12" w14:textId="77777777" w:rsidR="00555976" w:rsidRPr="00F04F4E" w:rsidRDefault="00555976" w:rsidP="00F04F4E">
      <w:pPr>
        <w:ind w:left="709" w:right="757"/>
        <w:jc w:val="both"/>
        <w:rPr>
          <w:rFonts w:ascii="Palatino Linotype" w:hAnsi="Palatino Linotype"/>
          <w:i/>
          <w:sz w:val="22"/>
        </w:rPr>
      </w:pPr>
      <w:r w:rsidRPr="00F04F4E">
        <w:rPr>
          <w:rFonts w:ascii="Palatino Linotype" w:hAnsi="Palatino Linotype"/>
          <w:i/>
          <w:sz w:val="22"/>
        </w:rPr>
        <w:t>XIV. La orientación a un trámite específico.</w:t>
      </w:r>
    </w:p>
    <w:p w14:paraId="61062055" w14:textId="7F33439B" w:rsidR="00E72383" w:rsidRPr="009D1DB1" w:rsidRDefault="00555976" w:rsidP="009D1DB1">
      <w:pPr>
        <w:ind w:left="709" w:right="757"/>
        <w:jc w:val="both"/>
        <w:rPr>
          <w:rFonts w:ascii="Palatino Linotype" w:hAnsi="Palatino Linotype"/>
          <w:i/>
          <w:sz w:val="22"/>
        </w:rPr>
      </w:pPr>
      <w:r w:rsidRPr="00F04F4E">
        <w:rPr>
          <w:rFonts w:ascii="Palatino Linotype" w:hAnsi="Palatino Linotype"/>
          <w:i/>
          <w:sz w:val="22"/>
        </w:rPr>
        <w:t>La respuesta que den los sujetos obligados derivada de la resolución a un recurso de revisión que proceda por las causales señaladas en las fracciones IV, VII, IX, X, XI y XII es susceptible de ser impugnada de nueva cuenta, mediante recurso de</w:t>
      </w:r>
      <w:r w:rsidR="00556CD0" w:rsidRPr="00F04F4E">
        <w:rPr>
          <w:rFonts w:ascii="Palatino Linotype" w:hAnsi="Palatino Linotype"/>
          <w:i/>
          <w:sz w:val="22"/>
        </w:rPr>
        <w:t xml:space="preserve"> </w:t>
      </w:r>
      <w:r w:rsidRPr="00F04F4E">
        <w:rPr>
          <w:rFonts w:ascii="Palatino Linotype" w:hAnsi="Palatino Linotype"/>
          <w:i/>
          <w:sz w:val="22"/>
        </w:rPr>
        <w:t>revisión, ante el Instituto.</w:t>
      </w:r>
    </w:p>
    <w:p w14:paraId="4E921CC2" w14:textId="56662F18" w:rsidR="009D1DB1" w:rsidRPr="009D1DB1" w:rsidRDefault="00555976" w:rsidP="006B517F">
      <w:pPr>
        <w:spacing w:line="360" w:lineRule="auto"/>
        <w:jc w:val="both"/>
        <w:rPr>
          <w:rFonts w:ascii="Palatino Linotype" w:hAnsi="Palatino Linotype"/>
        </w:rPr>
      </w:pPr>
      <w:r w:rsidRPr="006B517F">
        <w:rPr>
          <w:rFonts w:ascii="Palatino Linotype" w:hAnsi="Palatino Linotype"/>
        </w:rPr>
        <w:t xml:space="preserve">Así, la que suscribe emite </w:t>
      </w:r>
      <w:r w:rsidRPr="006B517F">
        <w:rPr>
          <w:rFonts w:ascii="Palatino Linotype" w:hAnsi="Palatino Linotype"/>
          <w:b/>
        </w:rPr>
        <w:t>VOTO PARTICULAR</w:t>
      </w:r>
      <w:r w:rsidRPr="006B517F">
        <w:rPr>
          <w:rFonts w:ascii="Palatino Linotype" w:hAnsi="Palatino Linotype"/>
        </w:rPr>
        <w:t xml:space="preserve"> a fin de precisar que, lo procedente era desechar el recurso de revisión de mérito con fundamento en</w:t>
      </w:r>
      <w:r w:rsidR="00E72383">
        <w:rPr>
          <w:rFonts w:ascii="Palatino Linotype" w:hAnsi="Palatino Linotype"/>
        </w:rPr>
        <w:t xml:space="preserve"> el artículo 191 fracción </w:t>
      </w:r>
      <w:r w:rsidRPr="006B517F">
        <w:rPr>
          <w:rFonts w:ascii="Palatino Linotype" w:hAnsi="Palatino Linotype"/>
        </w:rPr>
        <w:t xml:space="preserve">VI de la Ley de Transparencia y Acceso a la Información Pública del Estado de México y Municipios, al </w:t>
      </w:r>
      <w:r w:rsidR="009D1DB1">
        <w:rPr>
          <w:rFonts w:ascii="Palatino Linotype" w:hAnsi="Palatino Linotype"/>
        </w:rPr>
        <w:t>tratarse de una consulta en específico</w:t>
      </w:r>
      <w:r w:rsidRPr="006B517F">
        <w:rPr>
          <w:rFonts w:ascii="Palatino Linotype" w:hAnsi="Palatino Linotype"/>
        </w:rPr>
        <w:t xml:space="preserve">, ya que </w:t>
      </w:r>
      <w:r w:rsidRPr="006B517F">
        <w:rPr>
          <w:rFonts w:ascii="Palatino Linotype" w:hAnsi="Palatino Linotype"/>
          <w:b/>
        </w:rPr>
        <w:t>EL RECURRENTE</w:t>
      </w:r>
      <w:r w:rsidRPr="006B517F">
        <w:rPr>
          <w:rFonts w:ascii="Palatino Linotype" w:hAnsi="Palatino Linotype"/>
        </w:rPr>
        <w:t xml:space="preserve"> a través de su solicitud de información pública no pretendía tener acceso a documentos o información en posesión del </w:t>
      </w:r>
      <w:r w:rsidRPr="006B517F">
        <w:rPr>
          <w:rFonts w:ascii="Palatino Linotype" w:hAnsi="Palatino Linotype"/>
          <w:b/>
        </w:rPr>
        <w:t>SUJETO OBLIGADO</w:t>
      </w:r>
      <w:r w:rsidRPr="006B517F">
        <w:rPr>
          <w:rFonts w:ascii="Palatino Linotype" w:hAnsi="Palatino Linotype"/>
        </w:rPr>
        <w:t xml:space="preserve"> </w:t>
      </w:r>
      <w:r w:rsidR="0051355E">
        <w:rPr>
          <w:rFonts w:ascii="Palatino Linotype" w:hAnsi="Palatino Linotype"/>
        </w:rPr>
        <w:t xml:space="preserve">sino por el contrario pretendía que se le diera respuesta a un escrito de derecho de petición lo cual, resulta improcedente al no ser esta la vía para dar atención a los escritos de </w:t>
      </w:r>
      <w:r w:rsidR="009D1DB1">
        <w:rPr>
          <w:rFonts w:ascii="Palatino Linotype" w:hAnsi="Palatino Linotype"/>
        </w:rPr>
        <w:t>dicha naturaleza.</w:t>
      </w:r>
    </w:p>
    <w:tbl>
      <w:tblPr>
        <w:tblW w:w="4393" w:type="dxa"/>
        <w:jc w:val="center"/>
        <w:tblLayout w:type="fixed"/>
        <w:tblLook w:val="04A0" w:firstRow="1" w:lastRow="0" w:firstColumn="1" w:lastColumn="0" w:noHBand="0" w:noVBand="1"/>
      </w:tblPr>
      <w:tblGrid>
        <w:gridCol w:w="4393"/>
      </w:tblGrid>
      <w:tr w:rsidR="00CE00DB" w:rsidRPr="006B517F" w14:paraId="5D53FDCC" w14:textId="77777777" w:rsidTr="00C920B8">
        <w:trPr>
          <w:jc w:val="center"/>
        </w:trPr>
        <w:tc>
          <w:tcPr>
            <w:tcW w:w="4393" w:type="dxa"/>
          </w:tcPr>
          <w:p w14:paraId="5C7880B8" w14:textId="77777777" w:rsidR="0050300B" w:rsidRDefault="0050300B" w:rsidP="00F04F4E">
            <w:pPr>
              <w:spacing w:line="276" w:lineRule="auto"/>
              <w:jc w:val="center"/>
              <w:rPr>
                <w:rFonts w:ascii="Palatino Linotype" w:hAnsi="Palatino Linotype"/>
                <w:b/>
              </w:rPr>
            </w:pPr>
          </w:p>
          <w:p w14:paraId="0C7A0BB9" w14:textId="77777777" w:rsidR="00CE00DB" w:rsidRPr="006B517F" w:rsidRDefault="00CE00DB" w:rsidP="0050300B">
            <w:pPr>
              <w:jc w:val="center"/>
              <w:rPr>
                <w:rFonts w:ascii="Palatino Linotype" w:hAnsi="Palatino Linotype"/>
                <w:b/>
              </w:rPr>
            </w:pPr>
            <w:r w:rsidRPr="006B517F">
              <w:rPr>
                <w:rFonts w:ascii="Palatino Linotype" w:hAnsi="Palatino Linotype"/>
                <w:b/>
              </w:rPr>
              <w:t>EVA ABAID YAPUR</w:t>
            </w:r>
          </w:p>
          <w:p w14:paraId="0E6E133A" w14:textId="77777777" w:rsidR="00D111DB" w:rsidRDefault="00CE00DB" w:rsidP="0050300B">
            <w:pPr>
              <w:jc w:val="center"/>
              <w:rPr>
                <w:rFonts w:ascii="Palatino Linotype" w:hAnsi="Palatino Linotype"/>
                <w:b/>
              </w:rPr>
            </w:pPr>
            <w:r w:rsidRPr="006B517F">
              <w:rPr>
                <w:rFonts w:ascii="Palatino Linotype" w:hAnsi="Palatino Linotype"/>
                <w:b/>
              </w:rPr>
              <w:t>COMISIONADA</w:t>
            </w:r>
          </w:p>
          <w:p w14:paraId="34593506" w14:textId="6358955C" w:rsidR="00974065" w:rsidRPr="006B517F" w:rsidRDefault="00974065" w:rsidP="0050300B">
            <w:pPr>
              <w:jc w:val="center"/>
              <w:rPr>
                <w:rFonts w:ascii="Palatino Linotype" w:hAnsi="Palatino Linotype"/>
                <w:b/>
              </w:rPr>
            </w:pPr>
            <w:r>
              <w:rPr>
                <w:rFonts w:ascii="Palatino Linotype" w:hAnsi="Palatino Linotype"/>
                <w:b/>
              </w:rPr>
              <w:t>(RÚBRICA)</w:t>
            </w:r>
            <w:bookmarkStart w:id="0" w:name="_GoBack"/>
            <w:bookmarkEnd w:id="0"/>
          </w:p>
        </w:tc>
      </w:tr>
    </w:tbl>
    <w:p w14:paraId="2D57C86A" w14:textId="77777777" w:rsidR="0050300B" w:rsidRDefault="00CE00DB" w:rsidP="00F04F4E">
      <w:pPr>
        <w:jc w:val="both"/>
        <w:rPr>
          <w:rFonts w:ascii="Palatino Linotype" w:eastAsia="Calibri" w:hAnsi="Palatino Linotype" w:cs="Arial"/>
          <w:color w:val="000000" w:themeColor="text1"/>
          <w:sz w:val="16"/>
          <w:szCs w:val="16"/>
        </w:rPr>
      </w:pPr>
      <w:r w:rsidRPr="0050300B">
        <w:rPr>
          <w:rFonts w:ascii="Palatino Linotype" w:eastAsia="Calibri" w:hAnsi="Palatino Linotype" w:cs="Arial"/>
          <w:color w:val="000000" w:themeColor="text1"/>
          <w:sz w:val="16"/>
          <w:szCs w:val="16"/>
        </w:rPr>
        <w:t xml:space="preserve">Esta hoja corresponde al voto particular emitido en </w:t>
      </w:r>
      <w:r w:rsidR="00E72383" w:rsidRPr="0050300B">
        <w:rPr>
          <w:rFonts w:ascii="Palatino Linotype" w:eastAsia="Calibri" w:hAnsi="Palatino Linotype" w:cs="Arial"/>
          <w:color w:val="000000" w:themeColor="text1"/>
          <w:sz w:val="16"/>
          <w:szCs w:val="16"/>
        </w:rPr>
        <w:t>la resolución de los</w:t>
      </w:r>
      <w:r w:rsidRPr="0050300B">
        <w:rPr>
          <w:rFonts w:ascii="Palatino Linotype" w:eastAsia="Calibri" w:hAnsi="Palatino Linotype" w:cs="Arial"/>
          <w:color w:val="000000" w:themeColor="text1"/>
          <w:sz w:val="16"/>
          <w:szCs w:val="16"/>
        </w:rPr>
        <w:t xml:space="preserve"> recurso</w:t>
      </w:r>
      <w:r w:rsidR="00E72383" w:rsidRPr="0050300B">
        <w:rPr>
          <w:rFonts w:ascii="Palatino Linotype" w:eastAsia="Calibri" w:hAnsi="Palatino Linotype" w:cs="Arial"/>
          <w:color w:val="000000" w:themeColor="text1"/>
          <w:sz w:val="16"/>
          <w:szCs w:val="16"/>
        </w:rPr>
        <w:t>s</w:t>
      </w:r>
      <w:r w:rsidRPr="0050300B">
        <w:rPr>
          <w:rFonts w:ascii="Palatino Linotype" w:eastAsia="Calibri" w:hAnsi="Palatino Linotype" w:cs="Arial"/>
          <w:color w:val="000000" w:themeColor="text1"/>
          <w:sz w:val="16"/>
          <w:szCs w:val="16"/>
        </w:rPr>
        <w:t xml:space="preserve"> de revisión </w:t>
      </w:r>
      <w:r w:rsidR="00E72383" w:rsidRPr="0050300B">
        <w:rPr>
          <w:rFonts w:ascii="Palatino Linotype" w:eastAsia="Calibri" w:hAnsi="Palatino Linotype" w:cs="Arial"/>
          <w:color w:val="000000" w:themeColor="text1"/>
          <w:sz w:val="16"/>
          <w:szCs w:val="16"/>
        </w:rPr>
        <w:t>acumulados 03739/INFOEM/IP/RR/2018 Y 03866/INFOEM/IP/RR/2018</w:t>
      </w:r>
      <w:r w:rsidRPr="0050300B">
        <w:rPr>
          <w:rFonts w:ascii="Palatino Linotype" w:eastAsia="Calibri" w:hAnsi="Palatino Linotype" w:cs="Arial"/>
          <w:color w:val="000000" w:themeColor="text1"/>
          <w:sz w:val="16"/>
          <w:szCs w:val="16"/>
        </w:rPr>
        <w:t xml:space="preserve">, aprobado el </w:t>
      </w:r>
      <w:r w:rsidR="00E72383" w:rsidRPr="0050300B">
        <w:rPr>
          <w:rFonts w:ascii="Palatino Linotype" w:eastAsia="Calibri" w:hAnsi="Palatino Linotype" w:cs="Arial"/>
          <w:color w:val="000000" w:themeColor="text1"/>
          <w:sz w:val="16"/>
          <w:szCs w:val="16"/>
        </w:rPr>
        <w:t>seis de diciembre</w:t>
      </w:r>
      <w:r w:rsidR="00271386" w:rsidRPr="0050300B">
        <w:rPr>
          <w:rFonts w:ascii="Palatino Linotype" w:eastAsia="Calibri" w:hAnsi="Palatino Linotype" w:cs="Arial"/>
          <w:color w:val="000000" w:themeColor="text1"/>
          <w:sz w:val="16"/>
          <w:szCs w:val="16"/>
        </w:rPr>
        <w:t xml:space="preserve"> de dos mil dieciocho</w:t>
      </w:r>
      <w:r w:rsidRPr="0050300B">
        <w:rPr>
          <w:rFonts w:ascii="Palatino Linotype" w:eastAsia="Calibri" w:hAnsi="Palatino Linotype" w:cs="Arial"/>
          <w:color w:val="000000" w:themeColor="text1"/>
          <w:sz w:val="16"/>
          <w:szCs w:val="16"/>
        </w:rPr>
        <w:t xml:space="preserve">. </w:t>
      </w:r>
    </w:p>
    <w:p w14:paraId="77714180" w14:textId="1BB0488D" w:rsidR="00CE00DB" w:rsidRPr="0050300B" w:rsidRDefault="00271386" w:rsidP="00F04F4E">
      <w:pPr>
        <w:jc w:val="both"/>
        <w:rPr>
          <w:rFonts w:ascii="Palatino Linotype" w:eastAsia="Calibri" w:hAnsi="Palatino Linotype" w:cs="Arial"/>
          <w:color w:val="000000" w:themeColor="text1"/>
          <w:sz w:val="16"/>
          <w:szCs w:val="16"/>
        </w:rPr>
      </w:pPr>
      <w:r w:rsidRPr="0050300B">
        <w:rPr>
          <w:rFonts w:ascii="Palatino Linotype" w:eastAsia="Calibri" w:hAnsi="Palatino Linotype" w:cs="Arial"/>
          <w:color w:val="000000" w:themeColor="text1"/>
          <w:sz w:val="16"/>
          <w:szCs w:val="16"/>
        </w:rPr>
        <w:t>YSM/EJCA</w:t>
      </w:r>
    </w:p>
    <w:sectPr w:rsidR="00CE00DB" w:rsidRPr="0050300B" w:rsidSect="003D4ED1">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323100" w14:textId="77777777" w:rsidR="000F2952" w:rsidRDefault="000F2952" w:rsidP="00C80F8C">
      <w:r>
        <w:separator/>
      </w:r>
    </w:p>
  </w:endnote>
  <w:endnote w:type="continuationSeparator" w:id="0">
    <w:p w14:paraId="5E1F493C" w14:textId="77777777" w:rsidR="000F2952" w:rsidRDefault="000F295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183EC" w14:textId="77777777" w:rsidR="000412FB" w:rsidRDefault="000412FB" w:rsidP="003056D9">
    <w:pPr>
      <w:pStyle w:val="Piedepgina"/>
      <w:tabs>
        <w:tab w:val="clear" w:pos="4252"/>
        <w:tab w:val="left" w:pos="4228"/>
      </w:tabs>
      <w:rPr>
        <w:rFonts w:ascii="Palatino Linotype" w:hAnsi="Palatino Linotype" w:cs="Arial"/>
        <w:b/>
        <w:bCs/>
        <w:sz w:val="20"/>
        <w:szCs w:val="20"/>
      </w:rPr>
    </w:pPr>
  </w:p>
  <w:p w14:paraId="1C26389C" w14:textId="77777777" w:rsidR="003056D9" w:rsidRDefault="003056D9" w:rsidP="003056D9">
    <w:pPr>
      <w:pStyle w:val="Piedepgina"/>
      <w:tabs>
        <w:tab w:val="clear" w:pos="4252"/>
        <w:tab w:val="left" w:pos="4228"/>
      </w:tabs>
      <w:rPr>
        <w:rFonts w:ascii="Palatino Linotype" w:hAnsi="Palatino Linotype" w:cs="Arial"/>
        <w:b/>
        <w:bCs/>
        <w:sz w:val="20"/>
        <w:szCs w:val="20"/>
      </w:rPr>
    </w:pPr>
  </w:p>
  <w:p w14:paraId="7694619B" w14:textId="676EB295" w:rsidR="003056D9" w:rsidRDefault="003056D9" w:rsidP="003056D9">
    <w:pPr>
      <w:pStyle w:val="Piedepgina"/>
      <w:tabs>
        <w:tab w:val="clear" w:pos="4252"/>
        <w:tab w:val="left" w:pos="4228"/>
      </w:tabs>
      <w:rPr>
        <w:rFonts w:ascii="Palatino Linotype" w:hAnsi="Palatino Linotype" w:cs="Arial"/>
        <w:b/>
        <w:bCs/>
        <w:sz w:val="20"/>
        <w:szCs w:val="20"/>
      </w:rPr>
    </w:pPr>
  </w:p>
  <w:p w14:paraId="390F141A" w14:textId="77777777" w:rsidR="00455CB3" w:rsidRDefault="00455CB3" w:rsidP="000E2B1A">
    <w:pPr>
      <w:pStyle w:val="Piedepgina"/>
      <w:rPr>
        <w:rFonts w:ascii="Palatino Linotype" w:hAnsi="Palatino Linotype" w:cs="Arial"/>
        <w:b/>
        <w:bCs/>
        <w:sz w:val="20"/>
        <w:szCs w:val="20"/>
      </w:rPr>
    </w:pPr>
  </w:p>
  <w:p w14:paraId="122599E5" w14:textId="77777777" w:rsidR="003056D9" w:rsidRPr="00F12350" w:rsidRDefault="003056D9"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974065">
      <w:rPr>
        <w:rFonts w:ascii="Palatino Linotype" w:hAnsi="Palatino Linotype" w:cs="Arial"/>
        <w:b/>
        <w:bCs/>
        <w:noProof/>
        <w:sz w:val="20"/>
        <w:szCs w:val="20"/>
      </w:rPr>
      <w:t>10</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974065">
      <w:rPr>
        <w:rFonts w:ascii="Palatino Linotype" w:hAnsi="Palatino Linotype" w:cs="Arial"/>
        <w:b/>
        <w:bCs/>
        <w:noProof/>
        <w:sz w:val="20"/>
        <w:szCs w:val="20"/>
      </w:rPr>
      <w:t>11</w:t>
    </w:r>
    <w:r w:rsidRPr="00F12350">
      <w:rPr>
        <w:rFonts w:ascii="Palatino Linotype" w:hAnsi="Palatino Linotype" w:cs="Arial"/>
        <w:b/>
        <w:bCs/>
        <w:sz w:val="20"/>
        <w:szCs w:val="20"/>
      </w:rPr>
      <w:fldChar w:fldCharType="end"/>
    </w: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E90FBB" w14:textId="77777777" w:rsidR="000F2952" w:rsidRDefault="000F2952" w:rsidP="00C80F8C">
      <w:r>
        <w:separator/>
      </w:r>
    </w:p>
  </w:footnote>
  <w:footnote w:type="continuationSeparator" w:id="0">
    <w:p w14:paraId="5097205C" w14:textId="77777777" w:rsidR="000F2952" w:rsidRDefault="000F2952"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969BE" w14:textId="4DD2E2A6" w:rsidR="0034309A" w:rsidRDefault="00974065">
    <w:pPr>
      <w:pStyle w:val="Encabezado"/>
    </w:pPr>
    <w:r>
      <w:rPr>
        <w:noProof/>
      </w:rPr>
      <w:pict w14:anchorId="33D00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2159F" w14:textId="67A8CA33" w:rsidR="0034309A" w:rsidRDefault="0034309A"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52BD5B12">
          <wp:simplePos x="0" y="0"/>
          <wp:positionH relativeFrom="column">
            <wp:posOffset>-955675</wp:posOffset>
          </wp:positionH>
          <wp:positionV relativeFrom="paragraph">
            <wp:posOffset>-357505</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14:paraId="07B61D73" w14:textId="265EACBC" w:rsidR="0034309A" w:rsidRDefault="0034309A" w:rsidP="0034309A">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14:paraId="085550F0" w14:textId="57EF24F7" w:rsidR="00705B98" w:rsidRDefault="0034309A" w:rsidP="0034309A">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RECURSO</w:t>
    </w:r>
    <w:r w:rsidR="00705B98">
      <w:rPr>
        <w:rFonts w:ascii="Palatino Linotype" w:hAnsi="Palatino Linotype" w:cs="Arial"/>
        <w:sz w:val="20"/>
        <w:szCs w:val="20"/>
      </w:rPr>
      <w:t>S</w:t>
    </w:r>
    <w:r w:rsidRPr="00706042">
      <w:rPr>
        <w:rFonts w:ascii="Palatino Linotype" w:hAnsi="Palatino Linotype" w:cs="Arial"/>
        <w:sz w:val="20"/>
        <w:szCs w:val="20"/>
      </w:rPr>
      <w:t xml:space="preserve"> DE REVISIÓN</w:t>
    </w:r>
    <w:r w:rsidR="00705B98">
      <w:rPr>
        <w:rFonts w:ascii="Palatino Linotype" w:hAnsi="Palatino Linotype" w:cs="Arial"/>
        <w:sz w:val="20"/>
        <w:szCs w:val="20"/>
      </w:rPr>
      <w:t xml:space="preserve"> ACUMULADOS</w:t>
    </w:r>
  </w:p>
  <w:p w14:paraId="7AAFDAB2" w14:textId="1BAF241B" w:rsidR="00AB326F" w:rsidRDefault="0034309A" w:rsidP="0034309A">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 </w:t>
    </w:r>
    <w:r w:rsidR="00E72383">
      <w:rPr>
        <w:rFonts w:ascii="Palatino Linotype" w:hAnsi="Palatino Linotype" w:cs="Arial"/>
        <w:sz w:val="20"/>
        <w:szCs w:val="20"/>
      </w:rPr>
      <w:t>03739/INFOEM/IP/RR/2018 Y</w:t>
    </w:r>
    <w:r w:rsidR="00705B98" w:rsidRPr="00705B98">
      <w:rPr>
        <w:rFonts w:ascii="Palatino Linotype" w:hAnsi="Palatino Linotype" w:cs="Arial"/>
        <w:sz w:val="20"/>
        <w:szCs w:val="20"/>
      </w:rPr>
      <w:t xml:space="preserve"> 03866/INFOEM/IP/RR/2018</w:t>
    </w:r>
    <w:r w:rsidR="00AB326F" w:rsidRPr="00AB326F">
      <w:rPr>
        <w:rFonts w:ascii="Palatino Linotype" w:hAnsi="Palatino Linotype" w:cs="Arial"/>
        <w:sz w:val="20"/>
        <w:szCs w:val="20"/>
      </w:rPr>
      <w:t xml:space="preserve"> </w:t>
    </w:r>
  </w:p>
  <w:p w14:paraId="5605195D" w14:textId="77777777" w:rsidR="00EB7480" w:rsidRDefault="00EB7480" w:rsidP="0034309A">
    <w:pPr>
      <w:pStyle w:val="Encabezado"/>
      <w:tabs>
        <w:tab w:val="clear" w:pos="4252"/>
        <w:tab w:val="clear" w:pos="8504"/>
        <w:tab w:val="left" w:pos="2326"/>
      </w:tabs>
      <w:jc w:val="right"/>
      <w:rPr>
        <w:rFonts w:ascii="Palatino Linotype" w:hAnsi="Palatino Linotype" w:cs="Arial"/>
        <w:sz w:val="20"/>
        <w:szCs w:val="20"/>
      </w:rPr>
    </w:pPr>
  </w:p>
  <w:p w14:paraId="333995A2" w14:textId="5161EFBA" w:rsidR="0030072F" w:rsidRDefault="00974065" w:rsidP="005B773B">
    <w:pPr>
      <w:pStyle w:val="Encabezado"/>
      <w:tabs>
        <w:tab w:val="clear" w:pos="4252"/>
        <w:tab w:val="clear" w:pos="8504"/>
        <w:tab w:val="left" w:pos="2326"/>
      </w:tabs>
      <w:spacing w:after="240"/>
      <w:jc w:val="right"/>
      <w:rPr>
        <w:rFonts w:ascii="Palatino Linotype" w:hAnsi="Palatino Linotype" w:cs="Arial"/>
        <w:sz w:val="20"/>
        <w:szCs w:val="20"/>
      </w:rPr>
    </w:pPr>
    <w:r>
      <w:rPr>
        <w:noProof/>
      </w:rPr>
      <w:pict w14:anchorId="38BFA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14.65pt;height:84.2pt;rotation:315;z-index:-251652096;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7B53A" w14:textId="7CCC1D43" w:rsidR="0034309A" w:rsidRDefault="00974065">
    <w:pPr>
      <w:pStyle w:val="Encabezado"/>
    </w:pPr>
    <w:r>
      <w:rPr>
        <w:noProof/>
      </w:rPr>
      <w:pict w14:anchorId="216D6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B7C0B4A"/>
    <w:multiLevelType w:val="hybridMultilevel"/>
    <w:tmpl w:val="CFACB43E"/>
    <w:lvl w:ilvl="0" w:tplc="6BF4E62C">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nsid w:val="1C1D406D"/>
    <w:multiLevelType w:val="hybridMultilevel"/>
    <w:tmpl w:val="8A1CDB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6">
    <w:nsid w:val="4007091E"/>
    <w:multiLevelType w:val="hybridMultilevel"/>
    <w:tmpl w:val="0CC08F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num w:numId="1">
    <w:abstractNumId w:val="2"/>
  </w:num>
  <w:num w:numId="2">
    <w:abstractNumId w:val="1"/>
  </w:num>
  <w:num w:numId="3">
    <w:abstractNumId w:val="5"/>
  </w:num>
  <w:num w:numId="4">
    <w:abstractNumId w:val="0"/>
  </w:num>
  <w:num w:numId="5">
    <w:abstractNumId w:val="8"/>
  </w:num>
  <w:num w:numId="6">
    <w:abstractNumId w:val="7"/>
  </w:num>
  <w:num w:numId="7">
    <w:abstractNumId w:val="9"/>
  </w:num>
  <w:num w:numId="8">
    <w:abstractNumId w:val="4"/>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6B66"/>
    <w:rsid w:val="0001171D"/>
    <w:rsid w:val="0001751C"/>
    <w:rsid w:val="00017D16"/>
    <w:rsid w:val="00037573"/>
    <w:rsid w:val="000412FB"/>
    <w:rsid w:val="00055107"/>
    <w:rsid w:val="0006079D"/>
    <w:rsid w:val="0006435F"/>
    <w:rsid w:val="0007653D"/>
    <w:rsid w:val="00080A1C"/>
    <w:rsid w:val="00082101"/>
    <w:rsid w:val="0008542A"/>
    <w:rsid w:val="0008745A"/>
    <w:rsid w:val="00092678"/>
    <w:rsid w:val="00095B30"/>
    <w:rsid w:val="000A0E3C"/>
    <w:rsid w:val="000B3FFD"/>
    <w:rsid w:val="000C1A85"/>
    <w:rsid w:val="000C2CF9"/>
    <w:rsid w:val="000C4453"/>
    <w:rsid w:val="000D136C"/>
    <w:rsid w:val="000D66DE"/>
    <w:rsid w:val="000D67BE"/>
    <w:rsid w:val="000E2B1A"/>
    <w:rsid w:val="000E4C17"/>
    <w:rsid w:val="000F2952"/>
    <w:rsid w:val="001027C1"/>
    <w:rsid w:val="00102EEC"/>
    <w:rsid w:val="0010583C"/>
    <w:rsid w:val="001059D0"/>
    <w:rsid w:val="0010660E"/>
    <w:rsid w:val="00117749"/>
    <w:rsid w:val="00123644"/>
    <w:rsid w:val="00130827"/>
    <w:rsid w:val="0013735C"/>
    <w:rsid w:val="00140058"/>
    <w:rsid w:val="00147476"/>
    <w:rsid w:val="00161FF3"/>
    <w:rsid w:val="00175DEE"/>
    <w:rsid w:val="00184FA0"/>
    <w:rsid w:val="00187FFD"/>
    <w:rsid w:val="00191BEE"/>
    <w:rsid w:val="00193E1F"/>
    <w:rsid w:val="001950C9"/>
    <w:rsid w:val="00197EEE"/>
    <w:rsid w:val="001A5699"/>
    <w:rsid w:val="001D3F57"/>
    <w:rsid w:val="001E757E"/>
    <w:rsid w:val="001E763C"/>
    <w:rsid w:val="00204E3D"/>
    <w:rsid w:val="0021067C"/>
    <w:rsid w:val="0021450E"/>
    <w:rsid w:val="0022354C"/>
    <w:rsid w:val="002314AA"/>
    <w:rsid w:val="0023275D"/>
    <w:rsid w:val="0023504D"/>
    <w:rsid w:val="00237A37"/>
    <w:rsid w:val="0024119C"/>
    <w:rsid w:val="0025202C"/>
    <w:rsid w:val="00253790"/>
    <w:rsid w:val="002562CC"/>
    <w:rsid w:val="00265F75"/>
    <w:rsid w:val="00271386"/>
    <w:rsid w:val="002940F8"/>
    <w:rsid w:val="002B7856"/>
    <w:rsid w:val="002D3BBD"/>
    <w:rsid w:val="002D4526"/>
    <w:rsid w:val="002D69E1"/>
    <w:rsid w:val="002D7375"/>
    <w:rsid w:val="002E1B3D"/>
    <w:rsid w:val="002E5711"/>
    <w:rsid w:val="002F5CF7"/>
    <w:rsid w:val="0030072F"/>
    <w:rsid w:val="00302150"/>
    <w:rsid w:val="003031E1"/>
    <w:rsid w:val="003056D9"/>
    <w:rsid w:val="003102FA"/>
    <w:rsid w:val="003169C7"/>
    <w:rsid w:val="0034309A"/>
    <w:rsid w:val="00351129"/>
    <w:rsid w:val="0037321B"/>
    <w:rsid w:val="00374636"/>
    <w:rsid w:val="00386645"/>
    <w:rsid w:val="003A6F70"/>
    <w:rsid w:val="003B3E96"/>
    <w:rsid w:val="003B7727"/>
    <w:rsid w:val="003C23BE"/>
    <w:rsid w:val="003C28FC"/>
    <w:rsid w:val="003C2D10"/>
    <w:rsid w:val="003C7226"/>
    <w:rsid w:val="003D0623"/>
    <w:rsid w:val="003D1C14"/>
    <w:rsid w:val="003D4ED1"/>
    <w:rsid w:val="003E7C23"/>
    <w:rsid w:val="003F0C49"/>
    <w:rsid w:val="003F4C9C"/>
    <w:rsid w:val="0040475C"/>
    <w:rsid w:val="00410D1F"/>
    <w:rsid w:val="0041327F"/>
    <w:rsid w:val="00414E48"/>
    <w:rsid w:val="00414E7B"/>
    <w:rsid w:val="004179B7"/>
    <w:rsid w:val="00417B92"/>
    <w:rsid w:val="00422CE9"/>
    <w:rsid w:val="00425D61"/>
    <w:rsid w:val="004315BB"/>
    <w:rsid w:val="00436EB5"/>
    <w:rsid w:val="0044271B"/>
    <w:rsid w:val="00443646"/>
    <w:rsid w:val="0044475B"/>
    <w:rsid w:val="00453A4F"/>
    <w:rsid w:val="00455CB3"/>
    <w:rsid w:val="004661D2"/>
    <w:rsid w:val="00471FA0"/>
    <w:rsid w:val="004776FF"/>
    <w:rsid w:val="004830EE"/>
    <w:rsid w:val="00484788"/>
    <w:rsid w:val="00493149"/>
    <w:rsid w:val="00493EA9"/>
    <w:rsid w:val="004B6D52"/>
    <w:rsid w:val="004B7325"/>
    <w:rsid w:val="004C40EA"/>
    <w:rsid w:val="004C64D9"/>
    <w:rsid w:val="004D0A26"/>
    <w:rsid w:val="004D354F"/>
    <w:rsid w:val="004D49BA"/>
    <w:rsid w:val="004F25B9"/>
    <w:rsid w:val="00500FFD"/>
    <w:rsid w:val="0050300B"/>
    <w:rsid w:val="0051355E"/>
    <w:rsid w:val="00516914"/>
    <w:rsid w:val="005236B6"/>
    <w:rsid w:val="005318AB"/>
    <w:rsid w:val="005321E3"/>
    <w:rsid w:val="00552317"/>
    <w:rsid w:val="00555976"/>
    <w:rsid w:val="00556CD0"/>
    <w:rsid w:val="00562649"/>
    <w:rsid w:val="00575235"/>
    <w:rsid w:val="00577C53"/>
    <w:rsid w:val="0058067E"/>
    <w:rsid w:val="0058639E"/>
    <w:rsid w:val="005870DF"/>
    <w:rsid w:val="0058776D"/>
    <w:rsid w:val="00592A18"/>
    <w:rsid w:val="005A46F9"/>
    <w:rsid w:val="005B773B"/>
    <w:rsid w:val="005C66D4"/>
    <w:rsid w:val="005D14C4"/>
    <w:rsid w:val="005D192A"/>
    <w:rsid w:val="005D1946"/>
    <w:rsid w:val="00600720"/>
    <w:rsid w:val="00612544"/>
    <w:rsid w:val="0061616C"/>
    <w:rsid w:val="00617A56"/>
    <w:rsid w:val="00624333"/>
    <w:rsid w:val="00624C28"/>
    <w:rsid w:val="006301B2"/>
    <w:rsid w:val="00634485"/>
    <w:rsid w:val="0063673D"/>
    <w:rsid w:val="00646A97"/>
    <w:rsid w:val="00660348"/>
    <w:rsid w:val="00663A16"/>
    <w:rsid w:val="00672211"/>
    <w:rsid w:val="00677473"/>
    <w:rsid w:val="006824EF"/>
    <w:rsid w:val="00684492"/>
    <w:rsid w:val="00694EB3"/>
    <w:rsid w:val="006967D4"/>
    <w:rsid w:val="006A496D"/>
    <w:rsid w:val="006B517F"/>
    <w:rsid w:val="006C0991"/>
    <w:rsid w:val="006D6457"/>
    <w:rsid w:val="006E1ADA"/>
    <w:rsid w:val="006E6389"/>
    <w:rsid w:val="006F30F8"/>
    <w:rsid w:val="00704924"/>
    <w:rsid w:val="00705B98"/>
    <w:rsid w:val="00712BC2"/>
    <w:rsid w:val="0071346B"/>
    <w:rsid w:val="00721966"/>
    <w:rsid w:val="00724599"/>
    <w:rsid w:val="00736C06"/>
    <w:rsid w:val="007416E3"/>
    <w:rsid w:val="00742010"/>
    <w:rsid w:val="00772360"/>
    <w:rsid w:val="0078087A"/>
    <w:rsid w:val="00781F7E"/>
    <w:rsid w:val="00795474"/>
    <w:rsid w:val="007A4AB6"/>
    <w:rsid w:val="007B6E55"/>
    <w:rsid w:val="007C0FDA"/>
    <w:rsid w:val="007C3C0E"/>
    <w:rsid w:val="007C560A"/>
    <w:rsid w:val="007D05D8"/>
    <w:rsid w:val="007D0FEE"/>
    <w:rsid w:val="007F160E"/>
    <w:rsid w:val="00805C81"/>
    <w:rsid w:val="00811FE2"/>
    <w:rsid w:val="00817BDC"/>
    <w:rsid w:val="008217CD"/>
    <w:rsid w:val="00827787"/>
    <w:rsid w:val="00843B7A"/>
    <w:rsid w:val="0084467B"/>
    <w:rsid w:val="00846A21"/>
    <w:rsid w:val="008556C3"/>
    <w:rsid w:val="008562AB"/>
    <w:rsid w:val="00867511"/>
    <w:rsid w:val="00876477"/>
    <w:rsid w:val="0087790E"/>
    <w:rsid w:val="00892AFC"/>
    <w:rsid w:val="008B49CF"/>
    <w:rsid w:val="008C0700"/>
    <w:rsid w:val="008C0C70"/>
    <w:rsid w:val="008C17F2"/>
    <w:rsid w:val="008C6427"/>
    <w:rsid w:val="008D1526"/>
    <w:rsid w:val="008D584A"/>
    <w:rsid w:val="0090027E"/>
    <w:rsid w:val="00912B58"/>
    <w:rsid w:val="009141A6"/>
    <w:rsid w:val="00926A92"/>
    <w:rsid w:val="0093343E"/>
    <w:rsid w:val="00937202"/>
    <w:rsid w:val="00943570"/>
    <w:rsid w:val="00950765"/>
    <w:rsid w:val="00953EC8"/>
    <w:rsid w:val="00966E59"/>
    <w:rsid w:val="00974065"/>
    <w:rsid w:val="00975AA3"/>
    <w:rsid w:val="00975EB9"/>
    <w:rsid w:val="00976BAB"/>
    <w:rsid w:val="009773AF"/>
    <w:rsid w:val="0098288F"/>
    <w:rsid w:val="00986740"/>
    <w:rsid w:val="009A271C"/>
    <w:rsid w:val="009A67F5"/>
    <w:rsid w:val="009B54A6"/>
    <w:rsid w:val="009B65F4"/>
    <w:rsid w:val="009C2F32"/>
    <w:rsid w:val="009C46BF"/>
    <w:rsid w:val="009C684C"/>
    <w:rsid w:val="009C73B7"/>
    <w:rsid w:val="009D1DB1"/>
    <w:rsid w:val="009D63A9"/>
    <w:rsid w:val="009E5EDA"/>
    <w:rsid w:val="00A032F1"/>
    <w:rsid w:val="00A04C79"/>
    <w:rsid w:val="00A07E48"/>
    <w:rsid w:val="00A1068B"/>
    <w:rsid w:val="00A14B1D"/>
    <w:rsid w:val="00A3624F"/>
    <w:rsid w:val="00A40057"/>
    <w:rsid w:val="00A4593D"/>
    <w:rsid w:val="00A53958"/>
    <w:rsid w:val="00A53E9B"/>
    <w:rsid w:val="00A60D1E"/>
    <w:rsid w:val="00A73612"/>
    <w:rsid w:val="00A81140"/>
    <w:rsid w:val="00A824CA"/>
    <w:rsid w:val="00A913AB"/>
    <w:rsid w:val="00AA09D5"/>
    <w:rsid w:val="00AB21DA"/>
    <w:rsid w:val="00AB326F"/>
    <w:rsid w:val="00AC248E"/>
    <w:rsid w:val="00AC27AA"/>
    <w:rsid w:val="00AC3F99"/>
    <w:rsid w:val="00AD0AF6"/>
    <w:rsid w:val="00AD13E4"/>
    <w:rsid w:val="00AD6AAD"/>
    <w:rsid w:val="00AE2B18"/>
    <w:rsid w:val="00AF0B38"/>
    <w:rsid w:val="00AF3F82"/>
    <w:rsid w:val="00B106EA"/>
    <w:rsid w:val="00B12D9F"/>
    <w:rsid w:val="00B151A8"/>
    <w:rsid w:val="00B27BE5"/>
    <w:rsid w:val="00B337A5"/>
    <w:rsid w:val="00B35A45"/>
    <w:rsid w:val="00B36D1D"/>
    <w:rsid w:val="00B4641E"/>
    <w:rsid w:val="00B46E78"/>
    <w:rsid w:val="00B47F5A"/>
    <w:rsid w:val="00B5072E"/>
    <w:rsid w:val="00B53290"/>
    <w:rsid w:val="00B56E47"/>
    <w:rsid w:val="00B57FE6"/>
    <w:rsid w:val="00B64C77"/>
    <w:rsid w:val="00B650A8"/>
    <w:rsid w:val="00B7134B"/>
    <w:rsid w:val="00B72CDD"/>
    <w:rsid w:val="00B80485"/>
    <w:rsid w:val="00B95BF7"/>
    <w:rsid w:val="00BA5BB2"/>
    <w:rsid w:val="00BB733E"/>
    <w:rsid w:val="00BC5D71"/>
    <w:rsid w:val="00BD4ED4"/>
    <w:rsid w:val="00BD7483"/>
    <w:rsid w:val="00C027D3"/>
    <w:rsid w:val="00C077AD"/>
    <w:rsid w:val="00C1644D"/>
    <w:rsid w:val="00C30621"/>
    <w:rsid w:val="00C307F0"/>
    <w:rsid w:val="00C33514"/>
    <w:rsid w:val="00C348C1"/>
    <w:rsid w:val="00C35965"/>
    <w:rsid w:val="00C4493E"/>
    <w:rsid w:val="00C46791"/>
    <w:rsid w:val="00C47EB0"/>
    <w:rsid w:val="00C766EF"/>
    <w:rsid w:val="00C80F8C"/>
    <w:rsid w:val="00C87E6B"/>
    <w:rsid w:val="00C920B8"/>
    <w:rsid w:val="00CA047D"/>
    <w:rsid w:val="00CA6DDA"/>
    <w:rsid w:val="00CB0D94"/>
    <w:rsid w:val="00CB3340"/>
    <w:rsid w:val="00CC5EAB"/>
    <w:rsid w:val="00CD13BC"/>
    <w:rsid w:val="00CE00DB"/>
    <w:rsid w:val="00CF30E8"/>
    <w:rsid w:val="00D01B99"/>
    <w:rsid w:val="00D111DB"/>
    <w:rsid w:val="00D127BB"/>
    <w:rsid w:val="00D13EF3"/>
    <w:rsid w:val="00D2267B"/>
    <w:rsid w:val="00D22D87"/>
    <w:rsid w:val="00D34604"/>
    <w:rsid w:val="00D46C00"/>
    <w:rsid w:val="00D519F3"/>
    <w:rsid w:val="00D557C2"/>
    <w:rsid w:val="00D64F32"/>
    <w:rsid w:val="00D83D1C"/>
    <w:rsid w:val="00D93CE4"/>
    <w:rsid w:val="00DA3B67"/>
    <w:rsid w:val="00DA5209"/>
    <w:rsid w:val="00DD6A6C"/>
    <w:rsid w:val="00DF2EF4"/>
    <w:rsid w:val="00DF733A"/>
    <w:rsid w:val="00E10A96"/>
    <w:rsid w:val="00E146AA"/>
    <w:rsid w:val="00E210F7"/>
    <w:rsid w:val="00E27F2A"/>
    <w:rsid w:val="00E313C4"/>
    <w:rsid w:val="00E42755"/>
    <w:rsid w:val="00E43B8E"/>
    <w:rsid w:val="00E45B76"/>
    <w:rsid w:val="00E46383"/>
    <w:rsid w:val="00E50E30"/>
    <w:rsid w:val="00E70D84"/>
    <w:rsid w:val="00E72383"/>
    <w:rsid w:val="00E76ECF"/>
    <w:rsid w:val="00E80760"/>
    <w:rsid w:val="00E8209A"/>
    <w:rsid w:val="00E91A10"/>
    <w:rsid w:val="00EA27CB"/>
    <w:rsid w:val="00EA51A4"/>
    <w:rsid w:val="00EA5EEB"/>
    <w:rsid w:val="00EA7874"/>
    <w:rsid w:val="00EB5FA2"/>
    <w:rsid w:val="00EB7480"/>
    <w:rsid w:val="00EB7DE6"/>
    <w:rsid w:val="00EB7F1A"/>
    <w:rsid w:val="00EC0002"/>
    <w:rsid w:val="00ED5EE9"/>
    <w:rsid w:val="00EE448D"/>
    <w:rsid w:val="00EF2605"/>
    <w:rsid w:val="00F04F4E"/>
    <w:rsid w:val="00F06505"/>
    <w:rsid w:val="00F25FAD"/>
    <w:rsid w:val="00F36CDE"/>
    <w:rsid w:val="00F44E84"/>
    <w:rsid w:val="00F548A9"/>
    <w:rsid w:val="00F54D8B"/>
    <w:rsid w:val="00F57D55"/>
    <w:rsid w:val="00F84265"/>
    <w:rsid w:val="00F92F15"/>
    <w:rsid w:val="00F9624E"/>
    <w:rsid w:val="00FA05FB"/>
    <w:rsid w:val="00FA294A"/>
    <w:rsid w:val="00FA6221"/>
    <w:rsid w:val="00FB06A5"/>
    <w:rsid w:val="00FB48D6"/>
    <w:rsid w:val="00FE7408"/>
    <w:rsid w:val="00FF475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00"/>
  <w15:docId w15:val="{6C0D2035-4E77-48E7-8166-E20A4CF20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link w:val="Prrafodelista"/>
    <w:uiPriority w:val="34"/>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 w:type="table" w:styleId="Tablaconcuadrcula">
    <w:name w:val="Table Grid"/>
    <w:basedOn w:val="Tablanormal"/>
    <w:uiPriority w:val="5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3CE4"/>
  </w:style>
  <w:style w:type="paragraph" w:styleId="Textonotapie">
    <w:name w:val="footnote text"/>
    <w:basedOn w:val="Normal"/>
    <w:link w:val="TextonotapieCar"/>
    <w:uiPriority w:val="99"/>
    <w:semiHidden/>
    <w:unhideWhenUsed/>
    <w:rsid w:val="00B56E47"/>
    <w:rPr>
      <w:sz w:val="20"/>
      <w:szCs w:val="20"/>
    </w:rPr>
  </w:style>
  <w:style w:type="character" w:customStyle="1" w:styleId="TextonotapieCar">
    <w:name w:val="Texto nota pie Car"/>
    <w:basedOn w:val="Fuentedeprrafopredeter"/>
    <w:link w:val="Textonotapie"/>
    <w:uiPriority w:val="99"/>
    <w:semiHidden/>
    <w:rsid w:val="00B56E47"/>
    <w:rPr>
      <w:rFonts w:ascii="Times New Roman" w:eastAsia="Times New Roman" w:hAnsi="Times New Roman" w:cs="Times New Roman"/>
      <w:sz w:val="20"/>
      <w:szCs w:val="20"/>
      <w:lang w:val="es-ES"/>
    </w:rPr>
  </w:style>
  <w:style w:type="character" w:styleId="Refdenotaalpie">
    <w:name w:val="footnote reference"/>
    <w:basedOn w:val="Fuentedeprrafopredeter"/>
    <w:uiPriority w:val="99"/>
    <w:semiHidden/>
    <w:unhideWhenUsed/>
    <w:rsid w:val="00B56E47"/>
    <w:rPr>
      <w:vertAlign w:val="superscript"/>
    </w:rPr>
  </w:style>
  <w:style w:type="character" w:styleId="Hipervnculo">
    <w:name w:val="Hyperlink"/>
    <w:basedOn w:val="Fuentedeprrafopredeter"/>
    <w:uiPriority w:val="99"/>
    <w:unhideWhenUsed/>
    <w:rsid w:val="00B56E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501361">
      <w:bodyDiv w:val="1"/>
      <w:marLeft w:val="0"/>
      <w:marRight w:val="0"/>
      <w:marTop w:val="0"/>
      <w:marBottom w:val="0"/>
      <w:divBdr>
        <w:top w:val="none" w:sz="0" w:space="0" w:color="auto"/>
        <w:left w:val="none" w:sz="0" w:space="0" w:color="auto"/>
        <w:bottom w:val="none" w:sz="0" w:space="0" w:color="auto"/>
        <w:right w:val="none" w:sz="0" w:space="0" w:color="auto"/>
      </w:divBdr>
    </w:div>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 w:id="1517845796">
      <w:bodyDiv w:val="1"/>
      <w:marLeft w:val="0"/>
      <w:marRight w:val="0"/>
      <w:marTop w:val="0"/>
      <w:marBottom w:val="0"/>
      <w:divBdr>
        <w:top w:val="none" w:sz="0" w:space="0" w:color="auto"/>
        <w:left w:val="none" w:sz="0" w:space="0" w:color="auto"/>
        <w:bottom w:val="none" w:sz="0" w:space="0" w:color="auto"/>
        <w:right w:val="none" w:sz="0" w:space="0" w:color="auto"/>
      </w:divBdr>
    </w:div>
    <w:div w:id="15997537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0E59D-A9D4-418B-AEC1-A214F0067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11</Pages>
  <Words>2757</Words>
  <Characters>15167</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5</cp:revision>
  <cp:lastPrinted>2018-12-11T17:13:00Z</cp:lastPrinted>
  <dcterms:created xsi:type="dcterms:W3CDTF">2018-12-11T17:14:00Z</dcterms:created>
  <dcterms:modified xsi:type="dcterms:W3CDTF">2019-01-24T01:49:00Z</dcterms:modified>
</cp:coreProperties>
</file>